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27B2" w14:textId="7DBE2518" w:rsidR="00F1317F" w:rsidRDefault="4AE86247" w:rsidP="007D3603">
      <w:pPr>
        <w:pStyle w:val="Heading1"/>
        <w:numPr>
          <w:ilvl w:val="0"/>
          <w:numId w:val="2"/>
        </w:numPr>
      </w:pPr>
      <w:r w:rsidRPr="00032D05">
        <w:t>Purpose</w:t>
      </w:r>
    </w:p>
    <w:p w14:paraId="1BC11D00" w14:textId="65B599DF" w:rsidR="002E3499" w:rsidRPr="00641633" w:rsidRDefault="002E3499" w:rsidP="002E3499">
      <w:pPr>
        <w:pStyle w:val="NormalWeb"/>
        <w:spacing w:line="300" w:lineRule="atLeast"/>
        <w:ind w:left="360"/>
        <w:rPr>
          <w:rFonts w:ascii="Calibri" w:hAnsi="Calibri" w:cs="Calibri"/>
          <w:sz w:val="21"/>
          <w:szCs w:val="21"/>
        </w:rPr>
      </w:pPr>
      <w:r w:rsidRPr="00641633">
        <w:rPr>
          <w:rFonts w:ascii="Calibri" w:hAnsi="Calibri" w:cs="Calibri"/>
          <w:sz w:val="21"/>
          <w:szCs w:val="21"/>
        </w:rPr>
        <w:t>The purpose of this Standard Operating Procedure (SOP) is to define the Kentucky</w:t>
      </w:r>
      <w:r w:rsidRPr="00641633">
        <w:rPr>
          <w:rFonts w:ascii="Calibri" w:hAnsi="Calibri" w:cs="Calibri"/>
          <w:sz w:val="21"/>
          <w:szCs w:val="21"/>
        </w:rPr>
        <w:noBreakHyphen/>
        <w:t xml:space="preserve">specific operational workflows and processes required for compliant </w:t>
      </w:r>
      <w:r w:rsidR="008B6860">
        <w:rPr>
          <w:rFonts w:ascii="Calibri" w:hAnsi="Calibri" w:cs="Calibri"/>
          <w:sz w:val="21"/>
          <w:szCs w:val="21"/>
        </w:rPr>
        <w:t xml:space="preserve">Appeals </w:t>
      </w:r>
      <w:r w:rsidRPr="00641633">
        <w:rPr>
          <w:rFonts w:ascii="Calibri" w:hAnsi="Calibri" w:cs="Calibri"/>
          <w:sz w:val="21"/>
          <w:szCs w:val="21"/>
        </w:rPr>
        <w:t xml:space="preserve">activities performed by </w:t>
      </w:r>
      <w:r w:rsidRPr="00641633">
        <w:rPr>
          <w:rStyle w:val="Strong"/>
          <w:rFonts w:ascii="Calibri" w:hAnsi="Calibri" w:cs="Calibri"/>
          <w:b w:val="0"/>
          <w:bCs w:val="0"/>
          <w:sz w:val="21"/>
          <w:szCs w:val="21"/>
        </w:rPr>
        <w:t xml:space="preserve">Point C </w:t>
      </w:r>
      <w:r w:rsidRPr="00641633">
        <w:rPr>
          <w:rFonts w:ascii="Calibri" w:hAnsi="Calibri" w:cs="Calibri"/>
          <w:sz w:val="21"/>
          <w:szCs w:val="21"/>
        </w:rPr>
        <w:t xml:space="preserve">in accordance with </w:t>
      </w:r>
      <w:r w:rsidRPr="00641633">
        <w:rPr>
          <w:rStyle w:val="Strong"/>
          <w:rFonts w:ascii="Calibri" w:hAnsi="Calibri" w:cs="Calibri"/>
          <w:b w:val="0"/>
          <w:bCs w:val="0"/>
          <w:sz w:val="21"/>
          <w:szCs w:val="21"/>
        </w:rPr>
        <w:t>KRS 304.17A</w:t>
      </w:r>
      <w:r w:rsidRPr="00641633">
        <w:rPr>
          <w:rStyle w:val="Strong"/>
          <w:rFonts w:ascii="Calibri" w:hAnsi="Calibri" w:cs="Calibri"/>
          <w:b w:val="0"/>
          <w:bCs w:val="0"/>
          <w:sz w:val="21"/>
          <w:szCs w:val="21"/>
        </w:rPr>
        <w:noBreakHyphen/>
        <w:t>600 through 304.17A</w:t>
      </w:r>
      <w:r w:rsidRPr="00641633">
        <w:rPr>
          <w:rStyle w:val="Strong"/>
          <w:rFonts w:ascii="Calibri" w:hAnsi="Calibri" w:cs="Calibri"/>
          <w:b w:val="0"/>
          <w:bCs w:val="0"/>
          <w:sz w:val="21"/>
          <w:szCs w:val="21"/>
        </w:rPr>
        <w:noBreakHyphen/>
        <w:t>619</w:t>
      </w:r>
      <w:r w:rsidRPr="00641633">
        <w:rPr>
          <w:rFonts w:ascii="Calibri" w:hAnsi="Calibri" w:cs="Calibri"/>
          <w:sz w:val="21"/>
          <w:szCs w:val="21"/>
        </w:rPr>
        <w:t>,</w:t>
      </w:r>
      <w:r w:rsidRPr="00641633">
        <w:rPr>
          <w:rFonts w:ascii="Calibri" w:hAnsi="Calibri" w:cs="Calibri"/>
          <w:b/>
          <w:bCs/>
          <w:sz w:val="21"/>
          <w:szCs w:val="21"/>
        </w:rPr>
        <w:t xml:space="preserve"> </w:t>
      </w:r>
      <w:r w:rsidRPr="00641633">
        <w:rPr>
          <w:rStyle w:val="Strong"/>
          <w:rFonts w:ascii="Calibri" w:hAnsi="Calibri" w:cs="Calibri"/>
          <w:b w:val="0"/>
          <w:bCs w:val="0"/>
          <w:sz w:val="21"/>
          <w:szCs w:val="21"/>
        </w:rPr>
        <w:t>29 CFR 2560.503</w:t>
      </w:r>
      <w:r w:rsidRPr="00641633">
        <w:rPr>
          <w:rStyle w:val="Strong"/>
          <w:rFonts w:ascii="Calibri" w:hAnsi="Calibri" w:cs="Calibri"/>
          <w:b w:val="0"/>
          <w:bCs w:val="0"/>
          <w:sz w:val="21"/>
          <w:szCs w:val="21"/>
        </w:rPr>
        <w:noBreakHyphen/>
        <w:t>1</w:t>
      </w:r>
      <w:r w:rsidRPr="00641633">
        <w:rPr>
          <w:rFonts w:ascii="Calibri" w:hAnsi="Calibri" w:cs="Calibri"/>
          <w:sz w:val="21"/>
          <w:szCs w:val="21"/>
        </w:rPr>
        <w:t xml:space="preserve">, and the </w:t>
      </w:r>
      <w:r w:rsidRPr="00641633">
        <w:rPr>
          <w:rStyle w:val="Strong"/>
          <w:rFonts w:ascii="Calibri" w:hAnsi="Calibri" w:cs="Calibri"/>
          <w:b w:val="0"/>
          <w:bCs w:val="0"/>
          <w:sz w:val="21"/>
          <w:szCs w:val="21"/>
        </w:rPr>
        <w:t>Kentucky Department of Insurance Utilization Review Registration Application requirements</w:t>
      </w:r>
      <w:r w:rsidRPr="00641633">
        <w:rPr>
          <w:rFonts w:ascii="Calibri" w:hAnsi="Calibri" w:cs="Calibri"/>
          <w:sz w:val="21"/>
          <w:szCs w:val="21"/>
        </w:rPr>
        <w:t xml:space="preserve">. </w:t>
      </w:r>
    </w:p>
    <w:p w14:paraId="6FF4322B" w14:textId="5F49CDEB" w:rsidR="007E2B0B" w:rsidRDefault="0805DB24" w:rsidP="007D3603">
      <w:pPr>
        <w:pStyle w:val="Heading1"/>
        <w:numPr>
          <w:ilvl w:val="0"/>
          <w:numId w:val="2"/>
        </w:numPr>
        <w:spacing w:before="0"/>
      </w:pPr>
      <w:r w:rsidRPr="00032D05">
        <w:t>Scope</w:t>
      </w:r>
    </w:p>
    <w:p w14:paraId="7A5B77F7" w14:textId="77777777" w:rsidR="008B6860" w:rsidRDefault="008B6860" w:rsidP="008B6860">
      <w:pPr>
        <w:pStyle w:val="ListParagraph"/>
        <w:ind w:left="360"/>
      </w:pPr>
      <w:r>
        <w:t xml:space="preserve">Applies to all internal appeals across pre-service, post-service, and concurrent/continued care determinations, including expedited (urgent) appeals. </w:t>
      </w:r>
      <w:proofErr w:type="gramStart"/>
      <w:r>
        <w:t>Governs</w:t>
      </w:r>
      <w:proofErr w:type="gramEnd"/>
      <w:r>
        <w:t xml:space="preserve"> intake, routing to independent peer review (IRO), determinations, notifications, and records.</w:t>
      </w:r>
    </w:p>
    <w:p w14:paraId="02FFF950" w14:textId="77777777" w:rsidR="00641633" w:rsidRPr="00641633" w:rsidRDefault="00641633" w:rsidP="00641633"/>
    <w:p w14:paraId="749B3C5A" w14:textId="074617EB" w:rsidR="0034156B" w:rsidRPr="00FD2B17" w:rsidRDefault="007E2B0B" w:rsidP="007D3603">
      <w:pPr>
        <w:pStyle w:val="ListParagraph"/>
        <w:numPr>
          <w:ilvl w:val="0"/>
          <w:numId w:val="2"/>
        </w:numPr>
        <w:rPr>
          <w:color w:val="0070C0"/>
          <w:sz w:val="24"/>
          <w:szCs w:val="24"/>
        </w:rPr>
      </w:pPr>
      <w:r w:rsidRPr="007E2B0B">
        <w:rPr>
          <w:color w:val="0070C0"/>
          <w:sz w:val="32"/>
          <w:szCs w:val="32"/>
        </w:rPr>
        <w:t>DEFINITIONS</w:t>
      </w:r>
    </w:p>
    <w:p w14:paraId="4AC4E7E8" w14:textId="77777777" w:rsidR="008B6860" w:rsidRDefault="008B6860" w:rsidP="008B6860">
      <w:pPr>
        <w:pStyle w:val="ListBullet"/>
        <w:numPr>
          <w:ilvl w:val="0"/>
          <w:numId w:val="0"/>
        </w:numPr>
        <w:ind w:left="360"/>
      </w:pPr>
      <w:r>
        <w:rPr>
          <w:b/>
        </w:rPr>
        <w:t xml:space="preserve">Appeal: </w:t>
      </w:r>
      <w:r>
        <w:t>A request to review an adverse/non-certification determination.</w:t>
      </w:r>
    </w:p>
    <w:p w14:paraId="7F018ED0" w14:textId="77777777" w:rsidR="008B6860" w:rsidRDefault="008B6860" w:rsidP="008B6860">
      <w:pPr>
        <w:pStyle w:val="ListBullet"/>
        <w:numPr>
          <w:ilvl w:val="0"/>
          <w:numId w:val="0"/>
        </w:numPr>
        <w:ind w:left="360"/>
      </w:pPr>
      <w:r>
        <w:rPr>
          <w:b/>
        </w:rPr>
        <w:t xml:space="preserve">Expedited (Urgent) Appeal: </w:t>
      </w:r>
      <w:r>
        <w:t>Appeal where standard timeframes could jeopardize the member's health or ability to regain maximum function.</w:t>
      </w:r>
    </w:p>
    <w:p w14:paraId="79D0B21A" w14:textId="77777777" w:rsidR="008B6860" w:rsidRDefault="008B6860" w:rsidP="008B6860">
      <w:pPr>
        <w:pStyle w:val="ListBullet"/>
        <w:numPr>
          <w:ilvl w:val="0"/>
          <w:numId w:val="0"/>
        </w:numPr>
        <w:ind w:left="360"/>
      </w:pPr>
      <w:r>
        <w:rPr>
          <w:b/>
        </w:rPr>
        <w:t xml:space="preserve">Adverse Benefit Determination (ABD): </w:t>
      </w:r>
      <w:r>
        <w:t>Denial, reduction, termination, or failure to provide or pay a benefit, including medical necessity and coverage denials.</w:t>
      </w:r>
    </w:p>
    <w:p w14:paraId="564D890E" w14:textId="77777777" w:rsidR="008B6860" w:rsidRDefault="008B6860" w:rsidP="008B6860">
      <w:pPr>
        <w:pStyle w:val="ListBullet"/>
        <w:numPr>
          <w:ilvl w:val="0"/>
          <w:numId w:val="0"/>
        </w:numPr>
        <w:ind w:left="360"/>
      </w:pPr>
      <w:r>
        <w:rPr>
          <w:b/>
        </w:rPr>
        <w:t xml:space="preserve">Peer Reviewer: </w:t>
      </w:r>
      <w:r>
        <w:t>Licensed, independent clinician (via URAC-accredited IRO) rendering the appeal determination, not involved in the initial decision.</w:t>
      </w:r>
    </w:p>
    <w:p w14:paraId="65189288" w14:textId="77777777" w:rsidR="00FD2B17" w:rsidRPr="00FD2B17" w:rsidRDefault="00FD2B17" w:rsidP="00FD2B17">
      <w:pPr>
        <w:rPr>
          <w:color w:val="0070C0"/>
          <w:sz w:val="24"/>
          <w:szCs w:val="24"/>
        </w:rPr>
      </w:pPr>
    </w:p>
    <w:p w14:paraId="6D9976D9" w14:textId="481C6ACE" w:rsidR="00FD2B17" w:rsidRPr="00FD2B17" w:rsidRDefault="00FD2B17" w:rsidP="007D3603">
      <w:pPr>
        <w:pStyle w:val="ListParagraph"/>
        <w:numPr>
          <w:ilvl w:val="0"/>
          <w:numId w:val="2"/>
        </w:numPr>
        <w:rPr>
          <w:color w:val="0070C0"/>
          <w:sz w:val="24"/>
          <w:szCs w:val="24"/>
        </w:rPr>
      </w:pPr>
      <w:r>
        <w:rPr>
          <w:color w:val="0070C0"/>
          <w:sz w:val="32"/>
          <w:szCs w:val="32"/>
        </w:rPr>
        <w:t>ROLES AND RESPONSIBILITIES</w:t>
      </w:r>
    </w:p>
    <w:p w14:paraId="04888B85" w14:textId="77777777" w:rsidR="008B6860" w:rsidRDefault="008B6860" w:rsidP="008B6860">
      <w:pPr>
        <w:pStyle w:val="ListNumber"/>
        <w:numPr>
          <w:ilvl w:val="0"/>
          <w:numId w:val="0"/>
        </w:numPr>
        <w:ind w:left="360"/>
      </w:pPr>
      <w:r>
        <w:rPr>
          <w:b/>
        </w:rPr>
        <w:t xml:space="preserve">Appeals Intake Coordinator: </w:t>
      </w:r>
      <w:r>
        <w:t>Receives and date/</w:t>
      </w:r>
      <w:proofErr w:type="gramStart"/>
      <w:r>
        <w:t>time-stamps</w:t>
      </w:r>
      <w:proofErr w:type="gramEnd"/>
      <w:r>
        <w:t xml:space="preserve"> appeals; identifies level (urgent vs. standard) and category (pre-service, post-service, concurrent); ensures complete documentation.</w:t>
      </w:r>
    </w:p>
    <w:p w14:paraId="055D0E10" w14:textId="0348E8D2" w:rsidR="008B6860" w:rsidRDefault="008B6860" w:rsidP="008B6860">
      <w:pPr>
        <w:pStyle w:val="ListNumber"/>
        <w:numPr>
          <w:ilvl w:val="0"/>
          <w:numId w:val="0"/>
        </w:numPr>
        <w:ind w:left="360"/>
      </w:pPr>
      <w:r>
        <w:rPr>
          <w:b/>
        </w:rPr>
        <w:t xml:space="preserve">UR Nurse / Appeals Reviewer: </w:t>
      </w:r>
      <w:r>
        <w:t xml:space="preserve">Verifies completeness, prepares case packet, submits to IRO portal, monitors deadlines, retrieves IRO decision, and issues notifications; processes </w:t>
      </w:r>
      <w:proofErr w:type="gramStart"/>
      <w:r>
        <w:t>claims</w:t>
      </w:r>
      <w:proofErr w:type="gramEnd"/>
      <w:r>
        <w:t xml:space="preserve"> adjustments as applicable.</w:t>
      </w:r>
    </w:p>
    <w:p w14:paraId="5DF13DBF" w14:textId="77777777" w:rsidR="008B6860" w:rsidRDefault="008B6860" w:rsidP="008B6860">
      <w:pPr>
        <w:pStyle w:val="ListNumber"/>
        <w:numPr>
          <w:ilvl w:val="0"/>
          <w:numId w:val="0"/>
        </w:numPr>
        <w:ind w:left="360"/>
      </w:pPr>
      <w:r>
        <w:rPr>
          <w:b/>
        </w:rPr>
        <w:t xml:space="preserve">URAC-Accredited Independent Review Organization (IRO): </w:t>
      </w:r>
      <w:r>
        <w:t>Provides independent physician review; physician is credentialed, board-certified/eligible, within scope, not involved in the initial decision, and free of conflict or outcome-based incentives.</w:t>
      </w:r>
    </w:p>
    <w:p w14:paraId="0ADAC299" w14:textId="77777777" w:rsidR="008B6860" w:rsidRDefault="008B6860" w:rsidP="008B6860">
      <w:pPr>
        <w:pStyle w:val="ListNumber"/>
        <w:numPr>
          <w:ilvl w:val="0"/>
          <w:numId w:val="0"/>
        </w:numPr>
        <w:ind w:left="360"/>
      </w:pPr>
      <w:r>
        <w:rPr>
          <w:b/>
        </w:rPr>
        <w:lastRenderedPageBreak/>
        <w:t xml:space="preserve">Compliance / Clinical Operations: </w:t>
      </w:r>
      <w:r>
        <w:t>Oversight and accountability for timeliness, notification content, and adherence to URAC/ERISA/state standards.</w:t>
      </w:r>
    </w:p>
    <w:p w14:paraId="25180799" w14:textId="77777777" w:rsidR="00FD2B17" w:rsidRPr="00FD2B17" w:rsidRDefault="00FD2B17" w:rsidP="00FD2B17">
      <w:pPr>
        <w:pStyle w:val="ListParagraph"/>
        <w:ind w:left="360"/>
        <w:rPr>
          <w:color w:val="0070C0"/>
          <w:sz w:val="24"/>
          <w:szCs w:val="24"/>
        </w:rPr>
      </w:pPr>
    </w:p>
    <w:p w14:paraId="62F17E74" w14:textId="5A5C1346" w:rsidR="00C41305" w:rsidRPr="00C41305" w:rsidRDefault="00C41305" w:rsidP="007D3603">
      <w:pPr>
        <w:pStyle w:val="ListParagraph"/>
        <w:numPr>
          <w:ilvl w:val="0"/>
          <w:numId w:val="2"/>
        </w:numPr>
        <w:rPr>
          <w:color w:val="0070C0"/>
          <w:sz w:val="24"/>
          <w:szCs w:val="24"/>
        </w:rPr>
      </w:pPr>
      <w:r>
        <w:rPr>
          <w:color w:val="0070C0"/>
          <w:sz w:val="32"/>
          <w:szCs w:val="32"/>
        </w:rPr>
        <w:t>SUBMITTING AN APPEAL</w:t>
      </w:r>
    </w:p>
    <w:p w14:paraId="5897E7D2" w14:textId="77777777" w:rsidR="00C41305" w:rsidRDefault="00C41305" w:rsidP="00C41305">
      <w:pPr>
        <w:pStyle w:val="ListParagraph"/>
        <w:ind w:left="1080"/>
        <w:rPr>
          <w:b/>
          <w:sz w:val="24"/>
          <w:szCs w:val="24"/>
        </w:rPr>
      </w:pPr>
      <w:r w:rsidRPr="00DF7AA0">
        <w:rPr>
          <w:b/>
          <w:sz w:val="24"/>
          <w:szCs w:val="24"/>
        </w:rPr>
        <w:t>5.</w:t>
      </w:r>
      <w:r>
        <w:rPr>
          <w:b/>
          <w:sz w:val="24"/>
          <w:szCs w:val="24"/>
        </w:rPr>
        <w:t xml:space="preserve">0 Submitting an Appeal </w:t>
      </w:r>
    </w:p>
    <w:p w14:paraId="56A55075" w14:textId="77777777" w:rsidR="00C41305" w:rsidRDefault="00C41305" w:rsidP="007D3603">
      <w:pPr>
        <w:pStyle w:val="ListParagraph"/>
        <w:numPr>
          <w:ilvl w:val="0"/>
          <w:numId w:val="11"/>
        </w:numPr>
        <w:rPr>
          <w:bCs/>
          <w:sz w:val="24"/>
          <w:szCs w:val="24"/>
        </w:rPr>
      </w:pPr>
      <w:r>
        <w:rPr>
          <w:bCs/>
          <w:sz w:val="24"/>
          <w:szCs w:val="24"/>
        </w:rPr>
        <w:t xml:space="preserve">How to file an appeal: </w:t>
      </w:r>
    </w:p>
    <w:p w14:paraId="1F0C8B4C" w14:textId="77777777" w:rsidR="00C41305" w:rsidRPr="00CD6930" w:rsidRDefault="00C41305" w:rsidP="00C41305">
      <w:pPr>
        <w:autoSpaceDE w:val="0"/>
        <w:autoSpaceDN w:val="0"/>
        <w:adjustRightInd w:val="0"/>
        <w:spacing w:after="0" w:line="240" w:lineRule="auto"/>
        <w:ind w:left="1800"/>
        <w:rPr>
          <w:rFonts w:cstheme="minorHAnsi"/>
          <w:sz w:val="24"/>
          <w:szCs w:val="24"/>
        </w:rPr>
      </w:pPr>
      <w:r w:rsidRPr="00CD6930">
        <w:rPr>
          <w:rFonts w:cstheme="minorHAnsi"/>
          <w:sz w:val="24"/>
          <w:szCs w:val="24"/>
        </w:rPr>
        <w:t xml:space="preserve">Your appeal must be received in written form. </w:t>
      </w:r>
    </w:p>
    <w:p w14:paraId="3F48A093" w14:textId="77777777" w:rsidR="00C41305" w:rsidRPr="00CD6930" w:rsidRDefault="00C41305" w:rsidP="00C41305">
      <w:pPr>
        <w:autoSpaceDE w:val="0"/>
        <w:autoSpaceDN w:val="0"/>
        <w:adjustRightInd w:val="0"/>
        <w:spacing w:after="0" w:line="240" w:lineRule="auto"/>
        <w:ind w:left="1800"/>
        <w:rPr>
          <w:rFonts w:cstheme="minorHAnsi"/>
          <w:sz w:val="24"/>
          <w:szCs w:val="24"/>
        </w:rPr>
      </w:pPr>
      <w:r w:rsidRPr="00CD6930">
        <w:rPr>
          <w:rFonts w:cstheme="minorHAnsi"/>
          <w:sz w:val="24"/>
          <w:szCs w:val="24"/>
        </w:rPr>
        <w:t>Complete an Appeal form, make a copy and send the original to:</w:t>
      </w:r>
    </w:p>
    <w:p w14:paraId="6045098F" w14:textId="77777777" w:rsidR="00C41305" w:rsidRPr="00CD6930" w:rsidRDefault="00C41305" w:rsidP="00C41305">
      <w:pPr>
        <w:autoSpaceDE w:val="0"/>
        <w:autoSpaceDN w:val="0"/>
        <w:adjustRightInd w:val="0"/>
        <w:spacing w:after="0" w:line="240" w:lineRule="auto"/>
        <w:ind w:left="1800"/>
        <w:rPr>
          <w:rFonts w:cstheme="minorHAnsi"/>
          <w:sz w:val="24"/>
          <w:szCs w:val="24"/>
        </w:rPr>
      </w:pPr>
      <w:r w:rsidRPr="00CD6930">
        <w:rPr>
          <w:rFonts w:cstheme="minorHAnsi"/>
          <w:sz w:val="24"/>
          <w:szCs w:val="24"/>
        </w:rPr>
        <w:t>Point C Health</w:t>
      </w:r>
    </w:p>
    <w:p w14:paraId="538C8AD7" w14:textId="77777777" w:rsidR="00C41305" w:rsidRPr="00CD6930" w:rsidRDefault="00C41305" w:rsidP="00C41305">
      <w:pPr>
        <w:autoSpaceDE w:val="0"/>
        <w:autoSpaceDN w:val="0"/>
        <w:adjustRightInd w:val="0"/>
        <w:spacing w:after="0" w:line="240" w:lineRule="auto"/>
        <w:ind w:left="1800"/>
        <w:rPr>
          <w:rFonts w:cstheme="minorHAnsi"/>
          <w:sz w:val="24"/>
          <w:szCs w:val="24"/>
        </w:rPr>
      </w:pPr>
      <w:r w:rsidRPr="00CD6930">
        <w:rPr>
          <w:rFonts w:cstheme="minorHAnsi"/>
          <w:sz w:val="24"/>
          <w:szCs w:val="24"/>
        </w:rPr>
        <w:t>Appeals Division</w:t>
      </w:r>
    </w:p>
    <w:p w14:paraId="51B7366B" w14:textId="77777777" w:rsidR="00C41305" w:rsidRPr="00CD6930" w:rsidRDefault="00C41305" w:rsidP="00C41305">
      <w:pPr>
        <w:autoSpaceDE w:val="0"/>
        <w:autoSpaceDN w:val="0"/>
        <w:adjustRightInd w:val="0"/>
        <w:spacing w:after="0" w:line="240" w:lineRule="auto"/>
        <w:ind w:left="1800"/>
        <w:rPr>
          <w:rFonts w:cstheme="minorHAnsi"/>
          <w:sz w:val="24"/>
          <w:szCs w:val="24"/>
        </w:rPr>
      </w:pPr>
      <w:r w:rsidRPr="00CD6930">
        <w:rPr>
          <w:rFonts w:cstheme="minorHAnsi"/>
          <w:sz w:val="24"/>
          <w:szCs w:val="24"/>
        </w:rPr>
        <w:t>PO Box 25307</w:t>
      </w:r>
    </w:p>
    <w:p w14:paraId="7CAF7851" w14:textId="77777777" w:rsidR="00C41305" w:rsidRDefault="00C41305" w:rsidP="00C41305">
      <w:pPr>
        <w:ind w:left="1800"/>
        <w:rPr>
          <w:rFonts w:cstheme="minorHAnsi"/>
          <w:sz w:val="24"/>
          <w:szCs w:val="24"/>
        </w:rPr>
      </w:pPr>
      <w:r w:rsidRPr="00CD6930">
        <w:rPr>
          <w:rFonts w:cstheme="minorHAnsi"/>
          <w:sz w:val="24"/>
          <w:szCs w:val="24"/>
        </w:rPr>
        <w:t>Overland Park, KS 66225</w:t>
      </w:r>
    </w:p>
    <w:p w14:paraId="72A7A645" w14:textId="77777777" w:rsidR="00C41305" w:rsidRDefault="00C41305" w:rsidP="00C41305">
      <w:pPr>
        <w:ind w:left="1800"/>
        <w:rPr>
          <w:rFonts w:cstheme="minorHAnsi"/>
          <w:sz w:val="24"/>
          <w:szCs w:val="24"/>
        </w:rPr>
      </w:pPr>
      <w:r>
        <w:rPr>
          <w:rFonts w:cstheme="minorHAnsi"/>
          <w:sz w:val="24"/>
          <w:szCs w:val="24"/>
        </w:rPr>
        <w:t>For questions call Customer Service: (872) 265-4701</w:t>
      </w:r>
    </w:p>
    <w:p w14:paraId="24A2A62B" w14:textId="77777777" w:rsidR="00C41305" w:rsidRDefault="00C41305" w:rsidP="007D3603">
      <w:pPr>
        <w:pStyle w:val="ListParagraph"/>
        <w:numPr>
          <w:ilvl w:val="0"/>
          <w:numId w:val="11"/>
        </w:numPr>
        <w:rPr>
          <w:rFonts w:cstheme="minorHAnsi"/>
          <w:bCs/>
          <w:sz w:val="24"/>
          <w:szCs w:val="24"/>
        </w:rPr>
      </w:pPr>
      <w:r>
        <w:rPr>
          <w:rFonts w:cstheme="minorHAnsi"/>
          <w:bCs/>
          <w:sz w:val="24"/>
          <w:szCs w:val="24"/>
        </w:rPr>
        <w:t>Urgent Appeal:</w:t>
      </w:r>
    </w:p>
    <w:p w14:paraId="0ECD9844" w14:textId="77777777" w:rsidR="00C41305" w:rsidRDefault="00C41305" w:rsidP="00C41305">
      <w:pPr>
        <w:pStyle w:val="ListParagraph"/>
        <w:ind w:left="1800"/>
        <w:rPr>
          <w:rFonts w:cstheme="minorHAnsi"/>
          <w:bCs/>
          <w:sz w:val="24"/>
          <w:szCs w:val="24"/>
        </w:rPr>
      </w:pPr>
      <w:r>
        <w:rPr>
          <w:rFonts w:cstheme="minorHAnsi"/>
          <w:bCs/>
          <w:sz w:val="24"/>
          <w:szCs w:val="24"/>
        </w:rPr>
        <w:t xml:space="preserve">If your situation meets the definition of “urgent” under the law, your review will generally be conducted </w:t>
      </w:r>
      <w:proofErr w:type="spellStart"/>
      <w:r>
        <w:rPr>
          <w:rFonts w:cstheme="minorHAnsi"/>
          <w:bCs/>
          <w:sz w:val="24"/>
          <w:szCs w:val="24"/>
        </w:rPr>
        <w:t>with in</w:t>
      </w:r>
      <w:proofErr w:type="spellEnd"/>
      <w:r>
        <w:rPr>
          <w:rFonts w:cstheme="minorHAnsi"/>
          <w:bCs/>
          <w:sz w:val="24"/>
          <w:szCs w:val="24"/>
        </w:rPr>
        <w:t xml:space="preserve"> 72 hours. </w:t>
      </w:r>
      <w:proofErr w:type="gramStart"/>
      <w:r>
        <w:rPr>
          <w:rFonts w:cstheme="minorHAnsi"/>
          <w:bCs/>
          <w:sz w:val="24"/>
          <w:szCs w:val="24"/>
        </w:rPr>
        <w:t>Generally</w:t>
      </w:r>
      <w:proofErr w:type="gramEnd"/>
      <w:r>
        <w:rPr>
          <w:rFonts w:cstheme="minorHAnsi"/>
          <w:bCs/>
          <w:sz w:val="24"/>
          <w:szCs w:val="24"/>
        </w:rPr>
        <w:t xml:space="preserve"> an “urgent situation” is one in which your health may be in serious </w:t>
      </w:r>
      <w:proofErr w:type="gramStart"/>
      <w:r>
        <w:rPr>
          <w:rFonts w:cstheme="minorHAnsi"/>
          <w:bCs/>
          <w:sz w:val="24"/>
          <w:szCs w:val="24"/>
        </w:rPr>
        <w:t>jeopardy</w:t>
      </w:r>
      <w:proofErr w:type="gramEnd"/>
      <w:r>
        <w:rPr>
          <w:rFonts w:cstheme="minorHAnsi"/>
          <w:bCs/>
          <w:sz w:val="24"/>
          <w:szCs w:val="24"/>
        </w:rPr>
        <w:t xml:space="preserve"> or, in the opinion of your doctor, you may experience pain that cannot be adequately controlled while you wait for a decision of your appeal.</w:t>
      </w:r>
    </w:p>
    <w:p w14:paraId="0057179D" w14:textId="77777777" w:rsidR="00C41305" w:rsidRDefault="00C41305" w:rsidP="00C41305">
      <w:pPr>
        <w:pStyle w:val="ListParagraph"/>
        <w:ind w:left="1800"/>
        <w:rPr>
          <w:rFonts w:cstheme="minorHAnsi"/>
          <w:bCs/>
          <w:sz w:val="24"/>
          <w:szCs w:val="24"/>
        </w:rPr>
      </w:pPr>
    </w:p>
    <w:p w14:paraId="28318A46" w14:textId="77777777" w:rsidR="00C41305" w:rsidRDefault="00C41305" w:rsidP="007D3603">
      <w:pPr>
        <w:pStyle w:val="ListParagraph"/>
        <w:numPr>
          <w:ilvl w:val="0"/>
          <w:numId w:val="11"/>
        </w:numPr>
        <w:rPr>
          <w:rFonts w:cstheme="minorHAnsi"/>
          <w:bCs/>
          <w:sz w:val="24"/>
          <w:szCs w:val="24"/>
        </w:rPr>
      </w:pPr>
      <w:r>
        <w:rPr>
          <w:rFonts w:cstheme="minorHAnsi"/>
          <w:bCs/>
          <w:sz w:val="24"/>
          <w:szCs w:val="24"/>
        </w:rPr>
        <w:t>Who can Appeal:</w:t>
      </w:r>
    </w:p>
    <w:p w14:paraId="0F9267AA" w14:textId="77777777" w:rsidR="00C41305" w:rsidRDefault="00C41305" w:rsidP="00C41305">
      <w:pPr>
        <w:pStyle w:val="ListParagraph"/>
        <w:ind w:left="1800"/>
        <w:rPr>
          <w:rFonts w:cstheme="minorHAnsi"/>
          <w:bCs/>
          <w:sz w:val="24"/>
          <w:szCs w:val="24"/>
        </w:rPr>
      </w:pPr>
      <w:r>
        <w:rPr>
          <w:rFonts w:cstheme="minorHAnsi"/>
          <w:bCs/>
          <w:sz w:val="24"/>
          <w:szCs w:val="24"/>
        </w:rPr>
        <w:t>You or someone you name to act on your behalf (authorized representative) may file an appeal</w:t>
      </w:r>
    </w:p>
    <w:p w14:paraId="7E9FAA83" w14:textId="77777777" w:rsidR="00C41305" w:rsidRDefault="00C41305" w:rsidP="00C41305">
      <w:pPr>
        <w:pStyle w:val="ListParagraph"/>
        <w:ind w:left="1800"/>
        <w:rPr>
          <w:rFonts w:cstheme="minorHAnsi"/>
          <w:bCs/>
          <w:sz w:val="24"/>
          <w:szCs w:val="24"/>
        </w:rPr>
      </w:pPr>
    </w:p>
    <w:p w14:paraId="4E5D67EA" w14:textId="77777777" w:rsidR="00C41305" w:rsidRDefault="00C41305" w:rsidP="007D3603">
      <w:pPr>
        <w:pStyle w:val="ListParagraph"/>
        <w:numPr>
          <w:ilvl w:val="0"/>
          <w:numId w:val="11"/>
        </w:numPr>
        <w:rPr>
          <w:rFonts w:cstheme="minorHAnsi"/>
          <w:bCs/>
          <w:sz w:val="24"/>
          <w:szCs w:val="24"/>
        </w:rPr>
      </w:pPr>
      <w:r>
        <w:rPr>
          <w:rFonts w:cstheme="minorHAnsi"/>
          <w:bCs/>
          <w:sz w:val="24"/>
          <w:szCs w:val="24"/>
        </w:rPr>
        <w:t>Is additional information allowed?</w:t>
      </w:r>
    </w:p>
    <w:p w14:paraId="70684D74" w14:textId="77777777" w:rsidR="00C41305" w:rsidRDefault="00C41305" w:rsidP="00C41305">
      <w:pPr>
        <w:pStyle w:val="ListParagraph"/>
        <w:ind w:left="1800"/>
        <w:rPr>
          <w:rFonts w:cstheme="minorHAnsi"/>
          <w:bCs/>
          <w:sz w:val="24"/>
          <w:szCs w:val="24"/>
        </w:rPr>
      </w:pPr>
      <w:r>
        <w:rPr>
          <w:rFonts w:cstheme="minorHAnsi"/>
          <w:bCs/>
          <w:sz w:val="24"/>
          <w:szCs w:val="24"/>
        </w:rPr>
        <w:t>Yes, you may supply additional information. All pertinent information should be submitted with your appeal form.</w:t>
      </w:r>
    </w:p>
    <w:p w14:paraId="6C7045FC" w14:textId="77777777" w:rsidR="00C41305" w:rsidRDefault="00C41305" w:rsidP="00C41305">
      <w:pPr>
        <w:pStyle w:val="ListParagraph"/>
        <w:ind w:left="1800"/>
        <w:rPr>
          <w:rFonts w:cstheme="minorHAnsi"/>
          <w:bCs/>
          <w:sz w:val="24"/>
          <w:szCs w:val="24"/>
        </w:rPr>
      </w:pPr>
    </w:p>
    <w:p w14:paraId="2A39D5A6" w14:textId="77777777" w:rsidR="00C41305" w:rsidRDefault="00C41305" w:rsidP="007D3603">
      <w:pPr>
        <w:pStyle w:val="ListParagraph"/>
        <w:numPr>
          <w:ilvl w:val="0"/>
          <w:numId w:val="11"/>
        </w:numPr>
        <w:rPr>
          <w:rFonts w:cstheme="minorHAnsi"/>
          <w:bCs/>
          <w:sz w:val="24"/>
          <w:szCs w:val="24"/>
        </w:rPr>
      </w:pPr>
      <w:r>
        <w:rPr>
          <w:rFonts w:cstheme="minorHAnsi"/>
          <w:bCs/>
          <w:sz w:val="24"/>
          <w:szCs w:val="24"/>
        </w:rPr>
        <w:t>Kentucky Additional Rights:</w:t>
      </w:r>
    </w:p>
    <w:p w14:paraId="07C619F3" w14:textId="77777777" w:rsidR="00C41305" w:rsidRDefault="00C41305" w:rsidP="00C41305">
      <w:pPr>
        <w:pStyle w:val="ListParagraph"/>
        <w:ind w:left="1800"/>
        <w:rPr>
          <w:rFonts w:cstheme="minorHAnsi"/>
          <w:bCs/>
          <w:sz w:val="24"/>
          <w:szCs w:val="24"/>
        </w:rPr>
      </w:pPr>
    </w:p>
    <w:p w14:paraId="55DE2E2E" w14:textId="77777777" w:rsidR="00C41305" w:rsidRDefault="00C41305" w:rsidP="00C41305">
      <w:pPr>
        <w:pStyle w:val="ListParagraph"/>
        <w:ind w:left="1800"/>
        <w:rPr>
          <w:rFonts w:cstheme="minorHAnsi"/>
          <w:bCs/>
          <w:sz w:val="24"/>
          <w:szCs w:val="24"/>
        </w:rPr>
      </w:pPr>
      <w:r>
        <w:rPr>
          <w:rFonts w:cstheme="minorHAnsi"/>
          <w:bCs/>
          <w:sz w:val="24"/>
          <w:szCs w:val="24"/>
        </w:rPr>
        <w:t xml:space="preserve">If your coverage denial is upheld after completion of the internal appeal process, </w:t>
      </w:r>
      <w:proofErr w:type="gramStart"/>
      <w:r>
        <w:rPr>
          <w:rFonts w:cstheme="minorHAnsi"/>
          <w:bCs/>
          <w:sz w:val="24"/>
          <w:szCs w:val="24"/>
        </w:rPr>
        <w:t>you</w:t>
      </w:r>
      <w:proofErr w:type="gramEnd"/>
      <w:r>
        <w:rPr>
          <w:rFonts w:cstheme="minorHAnsi"/>
          <w:bCs/>
          <w:sz w:val="24"/>
          <w:szCs w:val="24"/>
        </w:rPr>
        <w:t xml:space="preserve"> </w:t>
      </w:r>
      <w:proofErr w:type="spellStart"/>
      <w:proofErr w:type="gramStart"/>
      <w:r>
        <w:rPr>
          <w:rFonts w:cstheme="minorHAnsi"/>
          <w:bCs/>
          <w:sz w:val="24"/>
          <w:szCs w:val="24"/>
        </w:rPr>
        <w:t>maybe</w:t>
      </w:r>
      <w:proofErr w:type="spellEnd"/>
      <w:proofErr w:type="gramEnd"/>
      <w:r>
        <w:rPr>
          <w:rFonts w:cstheme="minorHAnsi"/>
          <w:bCs/>
          <w:sz w:val="24"/>
          <w:szCs w:val="24"/>
        </w:rPr>
        <w:t xml:space="preserve"> eligible to request an external review through the Kentucky Department of Insurance’s </w:t>
      </w:r>
      <w:r>
        <w:rPr>
          <w:rFonts w:cstheme="minorHAnsi"/>
          <w:bCs/>
          <w:sz w:val="24"/>
          <w:szCs w:val="24"/>
        </w:rPr>
        <w:lastRenderedPageBreak/>
        <w:t>Independent External Review Program. Eternal review is conducted by an independent review entity assigned by the Department. You, or an authorized representative, or your provider (with your consent) may request an external review. You must submit request in writing within 60 days of receiving a final determination letter.</w:t>
      </w:r>
    </w:p>
    <w:p w14:paraId="479E8FAD" w14:textId="77777777" w:rsidR="00C41305" w:rsidRDefault="00C41305" w:rsidP="00C41305">
      <w:pPr>
        <w:pStyle w:val="ListParagraph"/>
        <w:ind w:left="1800"/>
        <w:rPr>
          <w:rFonts w:cstheme="minorHAnsi"/>
          <w:bCs/>
          <w:sz w:val="24"/>
          <w:szCs w:val="24"/>
        </w:rPr>
      </w:pPr>
    </w:p>
    <w:p w14:paraId="28FAA815" w14:textId="77777777" w:rsidR="00C41305" w:rsidRDefault="00C41305" w:rsidP="00C41305">
      <w:pPr>
        <w:pStyle w:val="ListParagraph"/>
        <w:ind w:left="1800"/>
        <w:rPr>
          <w:rFonts w:cstheme="minorHAnsi"/>
          <w:bCs/>
          <w:sz w:val="24"/>
          <w:szCs w:val="24"/>
        </w:rPr>
      </w:pPr>
      <w:r>
        <w:rPr>
          <w:rFonts w:cstheme="minorHAnsi"/>
          <w:bCs/>
          <w:sz w:val="24"/>
          <w:szCs w:val="24"/>
        </w:rPr>
        <w:t>For instruction and required forms, contact:</w:t>
      </w:r>
    </w:p>
    <w:p w14:paraId="330EE501" w14:textId="77777777" w:rsidR="00C41305" w:rsidRPr="00C41305" w:rsidRDefault="00C41305" w:rsidP="00C41305">
      <w:pPr>
        <w:pStyle w:val="ListParagraph"/>
        <w:ind w:left="1800"/>
        <w:rPr>
          <w:rFonts w:cstheme="minorHAnsi"/>
          <w:b/>
          <w:bCs/>
          <w:sz w:val="24"/>
          <w:szCs w:val="24"/>
        </w:rPr>
      </w:pPr>
      <w:r w:rsidRPr="00C41305">
        <w:rPr>
          <w:rFonts w:cstheme="minorHAnsi"/>
          <w:b/>
          <w:bCs/>
          <w:sz w:val="24"/>
          <w:szCs w:val="24"/>
        </w:rPr>
        <w:t>Kentucky Department of Insurance</w:t>
      </w:r>
    </w:p>
    <w:p w14:paraId="5D7413C1" w14:textId="77777777" w:rsidR="00C41305" w:rsidRPr="00C41305" w:rsidRDefault="00C41305" w:rsidP="00C41305">
      <w:pPr>
        <w:pStyle w:val="ListParagraph"/>
        <w:ind w:left="1800"/>
        <w:rPr>
          <w:rFonts w:cstheme="minorHAnsi"/>
          <w:b/>
          <w:bCs/>
          <w:sz w:val="24"/>
          <w:szCs w:val="24"/>
        </w:rPr>
      </w:pPr>
      <w:r w:rsidRPr="00C41305">
        <w:rPr>
          <w:rFonts w:cstheme="minorHAnsi"/>
          <w:b/>
          <w:bCs/>
          <w:sz w:val="24"/>
          <w:szCs w:val="24"/>
        </w:rPr>
        <w:t>Division of Consumer Protection</w:t>
      </w:r>
    </w:p>
    <w:p w14:paraId="4926BC63" w14:textId="77777777" w:rsidR="00C41305" w:rsidRPr="00C41305" w:rsidRDefault="00C41305" w:rsidP="00C41305">
      <w:pPr>
        <w:pStyle w:val="ListParagraph"/>
        <w:ind w:left="1800"/>
        <w:rPr>
          <w:rFonts w:cstheme="minorHAnsi"/>
          <w:bCs/>
          <w:sz w:val="24"/>
          <w:szCs w:val="24"/>
        </w:rPr>
      </w:pPr>
      <w:r w:rsidRPr="00C41305">
        <w:rPr>
          <w:rFonts w:cstheme="minorHAnsi"/>
          <w:b/>
          <w:bCs/>
          <w:sz w:val="24"/>
          <w:szCs w:val="24"/>
        </w:rPr>
        <w:t xml:space="preserve">Phone: </w:t>
      </w:r>
      <w:r w:rsidRPr="00C41305">
        <w:rPr>
          <w:rFonts w:cstheme="minorHAnsi"/>
          <w:bCs/>
          <w:sz w:val="24"/>
          <w:szCs w:val="24"/>
        </w:rPr>
        <w:t>(800) 595-6053</w:t>
      </w:r>
    </w:p>
    <w:p w14:paraId="6E1603AB" w14:textId="77777777" w:rsidR="00C41305" w:rsidRDefault="00C41305" w:rsidP="00C41305">
      <w:pPr>
        <w:pStyle w:val="ListParagraph"/>
        <w:ind w:left="1800"/>
        <w:rPr>
          <w:rFonts w:cstheme="minorHAnsi"/>
          <w:bCs/>
          <w:sz w:val="24"/>
          <w:szCs w:val="24"/>
        </w:rPr>
      </w:pPr>
      <w:r w:rsidRPr="00C41305">
        <w:rPr>
          <w:rFonts w:cstheme="minorHAnsi"/>
          <w:b/>
          <w:bCs/>
          <w:sz w:val="24"/>
          <w:szCs w:val="24"/>
        </w:rPr>
        <w:t xml:space="preserve">Website: </w:t>
      </w:r>
      <w:r w:rsidRPr="00C41305">
        <w:rPr>
          <w:rFonts w:cstheme="minorHAnsi"/>
          <w:bCs/>
          <w:sz w:val="24"/>
          <w:szCs w:val="24"/>
        </w:rPr>
        <w:t>https://insurance.ky.gov</w:t>
      </w:r>
    </w:p>
    <w:p w14:paraId="04E176D1" w14:textId="77777777" w:rsidR="00C41305" w:rsidRPr="00C41305" w:rsidRDefault="00C41305" w:rsidP="00C41305">
      <w:pPr>
        <w:pStyle w:val="ListParagraph"/>
        <w:ind w:left="360"/>
        <w:rPr>
          <w:color w:val="0070C0"/>
          <w:sz w:val="24"/>
          <w:szCs w:val="24"/>
        </w:rPr>
      </w:pPr>
    </w:p>
    <w:p w14:paraId="74AAE709" w14:textId="052E7956" w:rsidR="00CD6930" w:rsidRPr="00CD6930" w:rsidRDefault="00DF7AA0" w:rsidP="007D3603">
      <w:pPr>
        <w:pStyle w:val="ListParagraph"/>
        <w:numPr>
          <w:ilvl w:val="0"/>
          <w:numId w:val="2"/>
        </w:numPr>
        <w:rPr>
          <w:color w:val="0070C0"/>
          <w:sz w:val="24"/>
          <w:szCs w:val="24"/>
        </w:rPr>
      </w:pPr>
      <w:r>
        <w:rPr>
          <w:color w:val="0070C0"/>
          <w:sz w:val="32"/>
          <w:szCs w:val="32"/>
        </w:rPr>
        <w:t>OPERAT</w:t>
      </w:r>
      <w:r w:rsidR="00CD6930">
        <w:rPr>
          <w:color w:val="0070C0"/>
          <w:sz w:val="32"/>
          <w:szCs w:val="32"/>
        </w:rPr>
        <w:t>I</w:t>
      </w:r>
      <w:r>
        <w:rPr>
          <w:color w:val="0070C0"/>
          <w:sz w:val="32"/>
          <w:szCs w:val="32"/>
        </w:rPr>
        <w:t>ONAL PROCEDURE</w:t>
      </w:r>
    </w:p>
    <w:p w14:paraId="2B27A644" w14:textId="0C769E71" w:rsidR="00CD6930" w:rsidRPr="00CD6930" w:rsidRDefault="00CD6930" w:rsidP="00CD6930">
      <w:pPr>
        <w:pStyle w:val="ListParagraph"/>
        <w:ind w:left="360"/>
        <w:rPr>
          <w:color w:val="0070C0"/>
          <w:sz w:val="24"/>
          <w:szCs w:val="24"/>
        </w:rPr>
      </w:pPr>
    </w:p>
    <w:p w14:paraId="6CAD1628" w14:textId="001F43C2" w:rsidR="00DF7AA0" w:rsidRPr="00DF7AA0" w:rsidRDefault="00CD6930" w:rsidP="00DF7AA0">
      <w:pPr>
        <w:pStyle w:val="ListParagraph"/>
        <w:ind w:left="1080"/>
        <w:rPr>
          <w:sz w:val="24"/>
          <w:szCs w:val="24"/>
        </w:rPr>
      </w:pPr>
      <w:r>
        <w:rPr>
          <w:b/>
          <w:sz w:val="24"/>
          <w:szCs w:val="24"/>
        </w:rPr>
        <w:t xml:space="preserve">5.1 </w:t>
      </w:r>
      <w:r w:rsidR="00DF7AA0" w:rsidRPr="00DF7AA0">
        <w:rPr>
          <w:b/>
          <w:sz w:val="24"/>
          <w:szCs w:val="24"/>
        </w:rPr>
        <w:t>Intake &amp; Logging</w:t>
      </w:r>
    </w:p>
    <w:p w14:paraId="4737F82A" w14:textId="77777777" w:rsidR="00DF7AA0" w:rsidRPr="00DF7AA0" w:rsidRDefault="00DF7AA0" w:rsidP="007D3603">
      <w:pPr>
        <w:pStyle w:val="ListParagraph"/>
        <w:numPr>
          <w:ilvl w:val="0"/>
          <w:numId w:val="5"/>
        </w:numPr>
        <w:rPr>
          <w:sz w:val="24"/>
          <w:szCs w:val="24"/>
        </w:rPr>
      </w:pPr>
      <w:r w:rsidRPr="00DF7AA0">
        <w:rPr>
          <w:sz w:val="24"/>
          <w:szCs w:val="24"/>
        </w:rPr>
        <w:t>Receive appeal via mail or fax from member, authorized representative, or provider. Date/time-stamp receipt (appeal clock starts on this date).</w:t>
      </w:r>
    </w:p>
    <w:p w14:paraId="49383202" w14:textId="77777777" w:rsidR="00DF7AA0" w:rsidRPr="00DF7AA0" w:rsidRDefault="00DF7AA0" w:rsidP="007D3603">
      <w:pPr>
        <w:pStyle w:val="ListParagraph"/>
        <w:numPr>
          <w:ilvl w:val="0"/>
          <w:numId w:val="5"/>
        </w:numPr>
        <w:rPr>
          <w:sz w:val="24"/>
          <w:szCs w:val="24"/>
        </w:rPr>
      </w:pPr>
      <w:r w:rsidRPr="00DF7AA0">
        <w:rPr>
          <w:sz w:val="24"/>
          <w:szCs w:val="24"/>
        </w:rPr>
        <w:t>Classify the request as Urgent/Expedited (if delay may jeopardize life/health/function) or Standard, and as Pre-Service, Post-Service, or Concurrent Care.</w:t>
      </w:r>
    </w:p>
    <w:p w14:paraId="0BE34CE6" w14:textId="7EEA3626" w:rsidR="00DF7AA0" w:rsidRPr="00DF7AA0" w:rsidRDefault="00DF7AA0" w:rsidP="007D3603">
      <w:pPr>
        <w:pStyle w:val="ListParagraph"/>
        <w:numPr>
          <w:ilvl w:val="0"/>
          <w:numId w:val="5"/>
        </w:numPr>
        <w:rPr>
          <w:sz w:val="24"/>
          <w:szCs w:val="24"/>
        </w:rPr>
      </w:pPr>
      <w:r w:rsidRPr="00DF7AA0">
        <w:rPr>
          <w:sz w:val="24"/>
          <w:szCs w:val="24"/>
        </w:rPr>
        <w:t>Create case in appeals system; label with unique identifier (e.g., LastName</w:t>
      </w:r>
      <w:r>
        <w:rPr>
          <w:sz w:val="24"/>
          <w:szCs w:val="24"/>
        </w:rPr>
        <w:t>,</w:t>
      </w:r>
      <w:r w:rsidRPr="00DF7AA0">
        <w:rPr>
          <w:sz w:val="24"/>
          <w:szCs w:val="24"/>
        </w:rPr>
        <w:t xml:space="preserve"> FirstName</w:t>
      </w:r>
      <w:r>
        <w:rPr>
          <w:sz w:val="24"/>
          <w:szCs w:val="24"/>
        </w:rPr>
        <w:t xml:space="preserve">, </w:t>
      </w:r>
      <w:proofErr w:type="spellStart"/>
      <w:r w:rsidRPr="00DF7AA0">
        <w:rPr>
          <w:sz w:val="24"/>
          <w:szCs w:val="24"/>
        </w:rPr>
        <w:t>MemberID</w:t>
      </w:r>
      <w:proofErr w:type="spellEnd"/>
      <w:r>
        <w:rPr>
          <w:sz w:val="24"/>
          <w:szCs w:val="24"/>
        </w:rPr>
        <w:t xml:space="preserve">, </w:t>
      </w:r>
      <w:proofErr w:type="spellStart"/>
      <w:r w:rsidRPr="00DF7AA0">
        <w:rPr>
          <w:sz w:val="24"/>
          <w:szCs w:val="24"/>
        </w:rPr>
        <w:t>RequestType</w:t>
      </w:r>
      <w:proofErr w:type="spellEnd"/>
      <w:r>
        <w:rPr>
          <w:sz w:val="24"/>
          <w:szCs w:val="24"/>
        </w:rPr>
        <w:t>,</w:t>
      </w:r>
      <w:r w:rsidRPr="00DF7AA0">
        <w:rPr>
          <w:sz w:val="24"/>
          <w:szCs w:val="24"/>
        </w:rPr>
        <w:t xml:space="preserve"> </w:t>
      </w:r>
      <w:proofErr w:type="spellStart"/>
      <w:r w:rsidRPr="00DF7AA0">
        <w:rPr>
          <w:sz w:val="24"/>
          <w:szCs w:val="24"/>
        </w:rPr>
        <w:t>DateReceived</w:t>
      </w:r>
      <w:proofErr w:type="spellEnd"/>
      <w:r w:rsidRPr="00DF7AA0">
        <w:rPr>
          <w:sz w:val="24"/>
          <w:szCs w:val="24"/>
        </w:rPr>
        <w:t>).</w:t>
      </w:r>
    </w:p>
    <w:p w14:paraId="2A09C2B0" w14:textId="77777777" w:rsidR="00DF7AA0" w:rsidRPr="00DF7AA0" w:rsidRDefault="00DF7AA0" w:rsidP="00DF7AA0">
      <w:pPr>
        <w:pStyle w:val="ListParagraph"/>
        <w:ind w:left="1080"/>
        <w:rPr>
          <w:sz w:val="24"/>
          <w:szCs w:val="24"/>
        </w:rPr>
      </w:pPr>
      <w:r w:rsidRPr="00DF7AA0">
        <w:rPr>
          <w:b/>
          <w:sz w:val="24"/>
          <w:szCs w:val="24"/>
        </w:rPr>
        <w:t>5.2 Completeness Check &amp; Information Request</w:t>
      </w:r>
    </w:p>
    <w:p w14:paraId="537E9714" w14:textId="77777777" w:rsidR="00DF7AA0" w:rsidRPr="00DF7AA0" w:rsidRDefault="00DF7AA0" w:rsidP="007D3603">
      <w:pPr>
        <w:pStyle w:val="ListParagraph"/>
        <w:numPr>
          <w:ilvl w:val="0"/>
          <w:numId w:val="6"/>
        </w:numPr>
        <w:rPr>
          <w:sz w:val="24"/>
          <w:szCs w:val="24"/>
        </w:rPr>
      </w:pPr>
      <w:r w:rsidRPr="00DF7AA0">
        <w:rPr>
          <w:sz w:val="24"/>
          <w:szCs w:val="24"/>
        </w:rPr>
        <w:t>If documentation is incomplete, contact the requester (call or fax) and attempt every 3–4 business days until complete.</w:t>
      </w:r>
    </w:p>
    <w:p w14:paraId="3A76BC7F" w14:textId="77777777" w:rsidR="00DF7AA0" w:rsidRPr="00DF7AA0" w:rsidRDefault="00DF7AA0" w:rsidP="007D3603">
      <w:pPr>
        <w:pStyle w:val="ListParagraph"/>
        <w:numPr>
          <w:ilvl w:val="0"/>
          <w:numId w:val="6"/>
        </w:numPr>
        <w:rPr>
          <w:sz w:val="24"/>
          <w:szCs w:val="24"/>
        </w:rPr>
      </w:pPr>
      <w:r w:rsidRPr="00DF7AA0">
        <w:rPr>
          <w:sz w:val="24"/>
          <w:szCs w:val="24"/>
        </w:rPr>
        <w:t>After 3 attempts, issue a Lack-of-Information notice. Document all attempts and correspondence.</w:t>
      </w:r>
    </w:p>
    <w:p w14:paraId="782A32FE" w14:textId="77777777" w:rsidR="00DF7AA0" w:rsidRPr="00DF7AA0" w:rsidRDefault="00DF7AA0" w:rsidP="00DF7AA0">
      <w:pPr>
        <w:pStyle w:val="ListParagraph"/>
        <w:ind w:left="1080"/>
        <w:rPr>
          <w:sz w:val="24"/>
          <w:szCs w:val="24"/>
        </w:rPr>
      </w:pPr>
      <w:r w:rsidRPr="00DF7AA0">
        <w:rPr>
          <w:b/>
          <w:sz w:val="24"/>
          <w:szCs w:val="24"/>
        </w:rPr>
        <w:t>5.3 IRO Submission &amp; Review</w:t>
      </w:r>
    </w:p>
    <w:p w14:paraId="05F338D5" w14:textId="77777777" w:rsidR="00DF7AA0" w:rsidRPr="00DF7AA0" w:rsidRDefault="00DF7AA0" w:rsidP="007D3603">
      <w:pPr>
        <w:pStyle w:val="ListParagraph"/>
        <w:numPr>
          <w:ilvl w:val="0"/>
          <w:numId w:val="7"/>
        </w:numPr>
        <w:rPr>
          <w:sz w:val="24"/>
          <w:szCs w:val="24"/>
        </w:rPr>
      </w:pPr>
      <w:r w:rsidRPr="00DF7AA0">
        <w:rPr>
          <w:sz w:val="24"/>
          <w:szCs w:val="24"/>
        </w:rPr>
        <w:t>Link all records to the denied authorization and submit the appeal to the IRO via web portal.</w:t>
      </w:r>
    </w:p>
    <w:p w14:paraId="5ED7EEE9" w14:textId="77777777" w:rsidR="00DF7AA0" w:rsidRPr="00DF7AA0" w:rsidRDefault="00DF7AA0" w:rsidP="007D3603">
      <w:pPr>
        <w:pStyle w:val="ListParagraph"/>
        <w:numPr>
          <w:ilvl w:val="0"/>
          <w:numId w:val="7"/>
        </w:numPr>
        <w:rPr>
          <w:sz w:val="24"/>
          <w:szCs w:val="24"/>
        </w:rPr>
      </w:pPr>
      <w:r w:rsidRPr="00DF7AA0">
        <w:rPr>
          <w:sz w:val="24"/>
          <w:szCs w:val="24"/>
        </w:rPr>
        <w:t>IRO conducts independent physician peer review (not involved in the initial decision; appropriate specialty/scope) and signs an attestation; no outcome-based incentives.</w:t>
      </w:r>
    </w:p>
    <w:p w14:paraId="1CF54EF1" w14:textId="77777777" w:rsidR="00DF7AA0" w:rsidRPr="00DF7AA0" w:rsidRDefault="00DF7AA0" w:rsidP="00DF7AA0">
      <w:pPr>
        <w:pStyle w:val="ListParagraph"/>
        <w:ind w:left="1080"/>
        <w:rPr>
          <w:sz w:val="24"/>
          <w:szCs w:val="24"/>
        </w:rPr>
      </w:pPr>
      <w:r w:rsidRPr="00DF7AA0">
        <w:rPr>
          <w:b/>
          <w:sz w:val="24"/>
          <w:szCs w:val="24"/>
        </w:rPr>
        <w:t>5.4 Determination &amp; Notifications</w:t>
      </w:r>
    </w:p>
    <w:p w14:paraId="09E2356B" w14:textId="77777777" w:rsidR="00DF7AA0" w:rsidRPr="00DF7AA0" w:rsidRDefault="00DF7AA0" w:rsidP="007D3603">
      <w:pPr>
        <w:pStyle w:val="ListParagraph"/>
        <w:numPr>
          <w:ilvl w:val="0"/>
          <w:numId w:val="8"/>
        </w:numPr>
        <w:rPr>
          <w:sz w:val="24"/>
          <w:szCs w:val="24"/>
        </w:rPr>
      </w:pPr>
      <w:r w:rsidRPr="00DF7AA0">
        <w:rPr>
          <w:sz w:val="24"/>
          <w:szCs w:val="24"/>
        </w:rPr>
        <w:t>Once the IRO posts the determination, retrieve it, verify the outcome, and file to the case record.</w:t>
      </w:r>
    </w:p>
    <w:p w14:paraId="4627F062" w14:textId="77777777" w:rsidR="00DF7AA0" w:rsidRPr="00DF7AA0" w:rsidRDefault="00DF7AA0" w:rsidP="007D3603">
      <w:pPr>
        <w:pStyle w:val="ListParagraph"/>
        <w:numPr>
          <w:ilvl w:val="0"/>
          <w:numId w:val="8"/>
        </w:numPr>
        <w:rPr>
          <w:sz w:val="24"/>
          <w:szCs w:val="24"/>
        </w:rPr>
      </w:pPr>
      <w:r w:rsidRPr="00DF7AA0">
        <w:rPr>
          <w:sz w:val="24"/>
          <w:szCs w:val="24"/>
        </w:rPr>
        <w:lastRenderedPageBreak/>
        <w:t>Issue notifications to the member and provider within required timeframes (verbal/voicemail when required, followed by written notice).</w:t>
      </w:r>
    </w:p>
    <w:p w14:paraId="053DC762" w14:textId="77777777" w:rsidR="00DF7AA0" w:rsidRPr="00DF7AA0" w:rsidRDefault="00DF7AA0" w:rsidP="007D3603">
      <w:pPr>
        <w:pStyle w:val="ListParagraph"/>
        <w:numPr>
          <w:ilvl w:val="0"/>
          <w:numId w:val="8"/>
        </w:numPr>
        <w:rPr>
          <w:sz w:val="24"/>
          <w:szCs w:val="24"/>
        </w:rPr>
      </w:pPr>
      <w:r w:rsidRPr="00DF7AA0">
        <w:rPr>
          <w:sz w:val="24"/>
          <w:szCs w:val="24"/>
        </w:rPr>
        <w:t>Process claims adjustments if applicable.</w:t>
      </w:r>
    </w:p>
    <w:p w14:paraId="2E169DAB" w14:textId="77777777" w:rsidR="00DF7AA0" w:rsidRPr="00DF7AA0" w:rsidRDefault="00DF7AA0" w:rsidP="00DF7AA0">
      <w:pPr>
        <w:pStyle w:val="ListParagraph"/>
        <w:ind w:left="1080"/>
        <w:rPr>
          <w:sz w:val="24"/>
          <w:szCs w:val="24"/>
        </w:rPr>
      </w:pPr>
      <w:r w:rsidRPr="00DF7AA0">
        <w:rPr>
          <w:b/>
          <w:sz w:val="24"/>
          <w:szCs w:val="24"/>
        </w:rPr>
        <w:t>5.5 Level II (If Applicable)</w:t>
      </w:r>
    </w:p>
    <w:p w14:paraId="34AB8343" w14:textId="77777777" w:rsidR="00DF7AA0" w:rsidRPr="00DF7AA0" w:rsidRDefault="00DF7AA0" w:rsidP="00DF7AA0">
      <w:pPr>
        <w:pStyle w:val="ListParagraph"/>
        <w:ind w:left="1080"/>
        <w:rPr>
          <w:sz w:val="24"/>
          <w:szCs w:val="24"/>
        </w:rPr>
      </w:pPr>
      <w:r w:rsidRPr="00DF7AA0">
        <w:rPr>
          <w:sz w:val="24"/>
          <w:szCs w:val="24"/>
        </w:rPr>
        <w:t>When multiple internal appeal levels are used, a Level II review is performed by a different independent physician peer reviewer. The combined internal appeal process may not exceed 60 calendar days from the initial appeal to the final internal adverse benefit determination (ACA §2719).</w:t>
      </w:r>
    </w:p>
    <w:p w14:paraId="0A767B69" w14:textId="77777777" w:rsidR="00522022" w:rsidRPr="00DF7AA0" w:rsidRDefault="00522022" w:rsidP="00522022">
      <w:pPr>
        <w:pStyle w:val="ListParagraph"/>
        <w:ind w:left="1080"/>
        <w:rPr>
          <w:sz w:val="24"/>
          <w:szCs w:val="24"/>
        </w:rPr>
      </w:pPr>
    </w:p>
    <w:p w14:paraId="16AAEEF5" w14:textId="3E4F9E22" w:rsidR="00B03FBA" w:rsidRPr="00DC415B" w:rsidRDefault="00DF7AA0" w:rsidP="007D3603">
      <w:pPr>
        <w:pStyle w:val="ListParagraph"/>
        <w:numPr>
          <w:ilvl w:val="0"/>
          <w:numId w:val="2"/>
        </w:numPr>
        <w:rPr>
          <w:b/>
          <w:bCs/>
          <w:sz w:val="24"/>
          <w:szCs w:val="24"/>
        </w:rPr>
      </w:pPr>
      <w:r>
        <w:rPr>
          <w:color w:val="0072BC" w:themeColor="text2"/>
          <w:sz w:val="32"/>
          <w:szCs w:val="32"/>
        </w:rPr>
        <w:t>TIMEFRAMES FOR APPEAL DETERMINAITONS</w:t>
      </w:r>
    </w:p>
    <w:p w14:paraId="1FA8B7BD" w14:textId="77777777" w:rsidR="00DC415B" w:rsidRDefault="00DC415B" w:rsidP="00280897">
      <w:pPr>
        <w:pStyle w:val="ListParagraph"/>
        <w:ind w:left="360"/>
        <w:rPr>
          <w:sz w:val="24"/>
          <w:szCs w:val="24"/>
        </w:rPr>
      </w:pPr>
    </w:p>
    <w:p w14:paraId="4A32C171" w14:textId="77777777" w:rsidR="00DF7AA0" w:rsidRPr="00DF7AA0" w:rsidRDefault="00DF7AA0" w:rsidP="00DF7AA0">
      <w:pPr>
        <w:pStyle w:val="ListParagraph"/>
        <w:rPr>
          <w:sz w:val="24"/>
          <w:szCs w:val="24"/>
        </w:rPr>
      </w:pPr>
      <w:r w:rsidRPr="00DF7AA0">
        <w:rPr>
          <w:b/>
          <w:sz w:val="24"/>
          <w:szCs w:val="24"/>
        </w:rPr>
        <w:t>6.1 Urgent (Expedited) Appeals</w:t>
      </w:r>
    </w:p>
    <w:p w14:paraId="1833E478" w14:textId="77777777" w:rsidR="00DF7AA0" w:rsidRPr="00DF7AA0" w:rsidRDefault="00DF7AA0" w:rsidP="00DF7AA0">
      <w:pPr>
        <w:pStyle w:val="ListParagraph"/>
        <w:rPr>
          <w:sz w:val="24"/>
          <w:szCs w:val="24"/>
        </w:rPr>
      </w:pPr>
      <w:r w:rsidRPr="00DF7AA0">
        <w:rPr>
          <w:sz w:val="24"/>
          <w:szCs w:val="24"/>
        </w:rPr>
        <w:t>Determination as soon as possible, consistent with medical urgency, not later than 72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F7AA0" w:rsidRPr="00DF7AA0" w14:paraId="470CE533" w14:textId="77777777" w:rsidTr="006E739B">
        <w:trPr>
          <w:jc w:val="center"/>
        </w:trPr>
        <w:tc>
          <w:tcPr>
            <w:tcW w:w="4320" w:type="dxa"/>
            <w:hideMark/>
          </w:tcPr>
          <w:p w14:paraId="19D08FF6" w14:textId="77777777" w:rsidR="00DF7AA0" w:rsidRPr="00DF7AA0" w:rsidRDefault="00DF7AA0" w:rsidP="00DF7AA0">
            <w:pPr>
              <w:pStyle w:val="ListParagraph"/>
              <w:rPr>
                <w:b/>
                <w:bCs/>
                <w:sz w:val="24"/>
                <w:szCs w:val="24"/>
              </w:rPr>
            </w:pPr>
            <w:r w:rsidRPr="00DF7AA0">
              <w:rPr>
                <w:b/>
                <w:bCs/>
                <w:sz w:val="24"/>
                <w:szCs w:val="24"/>
              </w:rPr>
              <w:t>Event</w:t>
            </w:r>
          </w:p>
        </w:tc>
        <w:tc>
          <w:tcPr>
            <w:tcW w:w="4320" w:type="dxa"/>
            <w:hideMark/>
          </w:tcPr>
          <w:p w14:paraId="712F84F7" w14:textId="77777777" w:rsidR="00DF7AA0" w:rsidRPr="00DF7AA0" w:rsidRDefault="00DF7AA0" w:rsidP="00DF7AA0">
            <w:pPr>
              <w:pStyle w:val="ListParagraph"/>
              <w:rPr>
                <w:b/>
                <w:bCs/>
                <w:sz w:val="24"/>
                <w:szCs w:val="24"/>
              </w:rPr>
            </w:pPr>
            <w:r w:rsidRPr="00DF7AA0">
              <w:rPr>
                <w:b/>
                <w:bCs/>
                <w:sz w:val="24"/>
                <w:szCs w:val="24"/>
              </w:rPr>
              <w:t>Timeframe</w:t>
            </w:r>
          </w:p>
        </w:tc>
      </w:tr>
      <w:tr w:rsidR="00DF7AA0" w:rsidRPr="00DF7AA0" w14:paraId="1EDDE278" w14:textId="77777777" w:rsidTr="006E739B">
        <w:trPr>
          <w:jc w:val="center"/>
        </w:trPr>
        <w:tc>
          <w:tcPr>
            <w:tcW w:w="4320" w:type="dxa"/>
            <w:hideMark/>
          </w:tcPr>
          <w:p w14:paraId="54C1BDE7" w14:textId="77777777" w:rsidR="00DF7AA0" w:rsidRPr="00DF7AA0" w:rsidRDefault="00DF7AA0" w:rsidP="00DF7AA0">
            <w:pPr>
              <w:pStyle w:val="ListParagraph"/>
              <w:rPr>
                <w:sz w:val="24"/>
                <w:szCs w:val="24"/>
              </w:rPr>
            </w:pPr>
            <w:r w:rsidRPr="00DF7AA0">
              <w:rPr>
                <w:sz w:val="24"/>
                <w:szCs w:val="24"/>
              </w:rPr>
              <w:t>Notification to claimant of insufficient information or failure to follow filing procedures</w:t>
            </w:r>
          </w:p>
        </w:tc>
        <w:tc>
          <w:tcPr>
            <w:tcW w:w="4320" w:type="dxa"/>
            <w:hideMark/>
          </w:tcPr>
          <w:p w14:paraId="279F21BC" w14:textId="77777777" w:rsidR="00DF7AA0" w:rsidRPr="00DF7AA0" w:rsidRDefault="00DF7AA0" w:rsidP="00DF7AA0">
            <w:pPr>
              <w:pStyle w:val="ListParagraph"/>
              <w:rPr>
                <w:sz w:val="24"/>
                <w:szCs w:val="24"/>
              </w:rPr>
            </w:pPr>
            <w:r w:rsidRPr="00DF7AA0">
              <w:rPr>
                <w:sz w:val="24"/>
                <w:szCs w:val="24"/>
              </w:rPr>
              <w:t>24 hours</w:t>
            </w:r>
          </w:p>
        </w:tc>
      </w:tr>
      <w:tr w:rsidR="00DF7AA0" w:rsidRPr="00DF7AA0" w14:paraId="7ED70AE0" w14:textId="77777777" w:rsidTr="006E739B">
        <w:trPr>
          <w:jc w:val="center"/>
        </w:trPr>
        <w:tc>
          <w:tcPr>
            <w:tcW w:w="4320" w:type="dxa"/>
            <w:hideMark/>
          </w:tcPr>
          <w:p w14:paraId="4145DFC6" w14:textId="77777777" w:rsidR="00DF7AA0" w:rsidRPr="00DF7AA0" w:rsidRDefault="00DF7AA0" w:rsidP="00DF7AA0">
            <w:pPr>
              <w:pStyle w:val="ListParagraph"/>
              <w:rPr>
                <w:sz w:val="24"/>
                <w:szCs w:val="24"/>
              </w:rPr>
            </w:pPr>
            <w:r w:rsidRPr="00DF7AA0">
              <w:rPr>
                <w:sz w:val="24"/>
                <w:szCs w:val="24"/>
              </w:rPr>
              <w:t>Response window for claimant to supply information</w:t>
            </w:r>
          </w:p>
        </w:tc>
        <w:tc>
          <w:tcPr>
            <w:tcW w:w="4320" w:type="dxa"/>
            <w:hideMark/>
          </w:tcPr>
          <w:p w14:paraId="30A68207" w14:textId="77777777" w:rsidR="00DF7AA0" w:rsidRPr="00DF7AA0" w:rsidRDefault="00DF7AA0" w:rsidP="00DF7AA0">
            <w:pPr>
              <w:pStyle w:val="ListParagraph"/>
              <w:rPr>
                <w:sz w:val="24"/>
                <w:szCs w:val="24"/>
              </w:rPr>
            </w:pPr>
            <w:r w:rsidRPr="00DF7AA0">
              <w:rPr>
                <w:sz w:val="24"/>
                <w:szCs w:val="24"/>
              </w:rPr>
              <w:t>48 hours</w:t>
            </w:r>
          </w:p>
        </w:tc>
      </w:tr>
      <w:tr w:rsidR="00DF7AA0" w:rsidRPr="00DF7AA0" w14:paraId="77E86330" w14:textId="77777777" w:rsidTr="006E739B">
        <w:trPr>
          <w:jc w:val="center"/>
        </w:trPr>
        <w:tc>
          <w:tcPr>
            <w:tcW w:w="4320" w:type="dxa"/>
            <w:hideMark/>
          </w:tcPr>
          <w:p w14:paraId="1AC92664" w14:textId="77777777" w:rsidR="00DF7AA0" w:rsidRPr="00DF7AA0" w:rsidRDefault="00DF7AA0" w:rsidP="00DF7AA0">
            <w:pPr>
              <w:pStyle w:val="ListParagraph"/>
              <w:rPr>
                <w:sz w:val="24"/>
                <w:szCs w:val="24"/>
              </w:rPr>
            </w:pPr>
            <w:r w:rsidRPr="00DF7AA0">
              <w:rPr>
                <w:sz w:val="24"/>
                <w:szCs w:val="24"/>
              </w:rPr>
              <w:t>Benefit determination after claimant response</w:t>
            </w:r>
          </w:p>
        </w:tc>
        <w:tc>
          <w:tcPr>
            <w:tcW w:w="4320" w:type="dxa"/>
            <w:hideMark/>
          </w:tcPr>
          <w:p w14:paraId="31D29D46" w14:textId="77777777" w:rsidR="00DF7AA0" w:rsidRPr="00DF7AA0" w:rsidRDefault="00DF7AA0" w:rsidP="00DF7AA0">
            <w:pPr>
              <w:pStyle w:val="ListParagraph"/>
              <w:rPr>
                <w:sz w:val="24"/>
                <w:szCs w:val="24"/>
              </w:rPr>
            </w:pPr>
            <w:r w:rsidRPr="00DF7AA0">
              <w:rPr>
                <w:sz w:val="24"/>
                <w:szCs w:val="24"/>
              </w:rPr>
              <w:t>48 hours</w:t>
            </w:r>
          </w:p>
        </w:tc>
      </w:tr>
      <w:tr w:rsidR="00DF7AA0" w:rsidRPr="00DF7AA0" w14:paraId="4E6F1CBA" w14:textId="77777777" w:rsidTr="006E739B">
        <w:trPr>
          <w:jc w:val="center"/>
        </w:trPr>
        <w:tc>
          <w:tcPr>
            <w:tcW w:w="4320" w:type="dxa"/>
            <w:hideMark/>
          </w:tcPr>
          <w:p w14:paraId="293223B2" w14:textId="77777777" w:rsidR="00DF7AA0" w:rsidRPr="00DF7AA0" w:rsidRDefault="00DF7AA0" w:rsidP="00DF7AA0">
            <w:pPr>
              <w:pStyle w:val="ListParagraph"/>
              <w:rPr>
                <w:sz w:val="24"/>
                <w:szCs w:val="24"/>
              </w:rPr>
            </w:pPr>
            <w:r w:rsidRPr="00DF7AA0">
              <w:rPr>
                <w:sz w:val="24"/>
                <w:szCs w:val="24"/>
              </w:rPr>
              <w:t>Notification to claimant of claim determination (urgent appeal)</w:t>
            </w:r>
          </w:p>
        </w:tc>
        <w:tc>
          <w:tcPr>
            <w:tcW w:w="4320" w:type="dxa"/>
            <w:hideMark/>
          </w:tcPr>
          <w:p w14:paraId="039035DD" w14:textId="77777777" w:rsidR="00DF7AA0" w:rsidRPr="00DF7AA0" w:rsidRDefault="00DF7AA0" w:rsidP="00DF7AA0">
            <w:pPr>
              <w:pStyle w:val="ListParagraph"/>
              <w:rPr>
                <w:sz w:val="24"/>
                <w:szCs w:val="24"/>
              </w:rPr>
            </w:pPr>
            <w:r w:rsidRPr="00DF7AA0">
              <w:rPr>
                <w:sz w:val="24"/>
                <w:szCs w:val="24"/>
              </w:rPr>
              <w:t>72 hours</w:t>
            </w:r>
          </w:p>
        </w:tc>
      </w:tr>
    </w:tbl>
    <w:p w14:paraId="17ADE350" w14:textId="77777777" w:rsidR="00DF7AA0" w:rsidRPr="00DF7AA0" w:rsidRDefault="00DF7AA0" w:rsidP="00DF7AA0">
      <w:pPr>
        <w:pStyle w:val="ListParagraph"/>
        <w:rPr>
          <w:sz w:val="24"/>
          <w:szCs w:val="24"/>
        </w:rPr>
      </w:pPr>
      <w:r w:rsidRPr="00DF7AA0">
        <w:rPr>
          <w:b/>
          <w:sz w:val="24"/>
          <w:szCs w:val="24"/>
        </w:rPr>
        <w:t>6.2 Concurrent Care Claims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F7AA0" w:rsidRPr="00DF7AA0" w14:paraId="4CFEF8F9" w14:textId="77777777" w:rsidTr="006E739B">
        <w:trPr>
          <w:jc w:val="center"/>
        </w:trPr>
        <w:tc>
          <w:tcPr>
            <w:tcW w:w="4320" w:type="dxa"/>
            <w:hideMark/>
          </w:tcPr>
          <w:p w14:paraId="04F64271" w14:textId="77777777" w:rsidR="00DF7AA0" w:rsidRPr="00DF7AA0" w:rsidRDefault="00DF7AA0" w:rsidP="00DF7AA0">
            <w:pPr>
              <w:pStyle w:val="ListParagraph"/>
              <w:rPr>
                <w:b/>
                <w:bCs/>
                <w:sz w:val="24"/>
                <w:szCs w:val="24"/>
              </w:rPr>
            </w:pPr>
            <w:r w:rsidRPr="00DF7AA0">
              <w:rPr>
                <w:b/>
                <w:bCs/>
                <w:sz w:val="24"/>
                <w:szCs w:val="24"/>
              </w:rPr>
              <w:t>Event</w:t>
            </w:r>
          </w:p>
        </w:tc>
        <w:tc>
          <w:tcPr>
            <w:tcW w:w="4320" w:type="dxa"/>
            <w:hideMark/>
          </w:tcPr>
          <w:p w14:paraId="765F9C60" w14:textId="77777777" w:rsidR="00DF7AA0" w:rsidRPr="00DF7AA0" w:rsidRDefault="00DF7AA0" w:rsidP="00DF7AA0">
            <w:pPr>
              <w:pStyle w:val="ListParagraph"/>
              <w:rPr>
                <w:b/>
                <w:bCs/>
                <w:sz w:val="24"/>
                <w:szCs w:val="24"/>
              </w:rPr>
            </w:pPr>
            <w:r w:rsidRPr="00DF7AA0">
              <w:rPr>
                <w:b/>
                <w:bCs/>
                <w:sz w:val="24"/>
                <w:szCs w:val="24"/>
              </w:rPr>
              <w:t>Timeframe</w:t>
            </w:r>
          </w:p>
        </w:tc>
      </w:tr>
      <w:tr w:rsidR="00DF7AA0" w:rsidRPr="00DF7AA0" w14:paraId="2B7BBB53" w14:textId="77777777" w:rsidTr="006E739B">
        <w:trPr>
          <w:jc w:val="center"/>
        </w:trPr>
        <w:tc>
          <w:tcPr>
            <w:tcW w:w="4320" w:type="dxa"/>
            <w:hideMark/>
          </w:tcPr>
          <w:p w14:paraId="6CA24A16" w14:textId="77777777" w:rsidR="00DF7AA0" w:rsidRPr="00DF7AA0" w:rsidRDefault="00DF7AA0" w:rsidP="00DF7AA0">
            <w:pPr>
              <w:pStyle w:val="ListParagraph"/>
              <w:rPr>
                <w:sz w:val="24"/>
                <w:szCs w:val="24"/>
              </w:rPr>
            </w:pPr>
            <w:r w:rsidRPr="00DF7AA0">
              <w:rPr>
                <w:sz w:val="24"/>
                <w:szCs w:val="24"/>
              </w:rPr>
              <w:t>Notification to claimant of benefit reduction</w:t>
            </w:r>
          </w:p>
        </w:tc>
        <w:tc>
          <w:tcPr>
            <w:tcW w:w="4320" w:type="dxa"/>
            <w:hideMark/>
          </w:tcPr>
          <w:p w14:paraId="290121D5" w14:textId="77777777" w:rsidR="00DF7AA0" w:rsidRPr="00DF7AA0" w:rsidRDefault="00DF7AA0" w:rsidP="00DF7AA0">
            <w:pPr>
              <w:pStyle w:val="ListParagraph"/>
              <w:rPr>
                <w:sz w:val="24"/>
                <w:szCs w:val="24"/>
              </w:rPr>
            </w:pPr>
            <w:r w:rsidRPr="00DF7AA0">
              <w:rPr>
                <w:sz w:val="24"/>
                <w:szCs w:val="24"/>
              </w:rPr>
              <w:t>Sufficiently prior to scheduled termination to allow appeal</w:t>
            </w:r>
          </w:p>
        </w:tc>
      </w:tr>
      <w:tr w:rsidR="00DF7AA0" w:rsidRPr="00DF7AA0" w14:paraId="640EF40A" w14:textId="77777777" w:rsidTr="006E739B">
        <w:trPr>
          <w:jc w:val="center"/>
        </w:trPr>
        <w:tc>
          <w:tcPr>
            <w:tcW w:w="4320" w:type="dxa"/>
            <w:hideMark/>
          </w:tcPr>
          <w:p w14:paraId="44CE3BEA" w14:textId="77777777" w:rsidR="00DF7AA0" w:rsidRPr="00DF7AA0" w:rsidRDefault="00DF7AA0" w:rsidP="00DF7AA0">
            <w:pPr>
              <w:pStyle w:val="ListParagraph"/>
              <w:rPr>
                <w:sz w:val="24"/>
                <w:szCs w:val="24"/>
              </w:rPr>
            </w:pPr>
            <w:r w:rsidRPr="00DF7AA0">
              <w:rPr>
                <w:sz w:val="24"/>
                <w:szCs w:val="24"/>
              </w:rPr>
              <w:t>Notification to claimant of rescission</w:t>
            </w:r>
          </w:p>
        </w:tc>
        <w:tc>
          <w:tcPr>
            <w:tcW w:w="4320" w:type="dxa"/>
            <w:hideMark/>
          </w:tcPr>
          <w:p w14:paraId="36DD54E7" w14:textId="77777777" w:rsidR="00DF7AA0" w:rsidRPr="00DF7AA0" w:rsidRDefault="00DF7AA0" w:rsidP="00DF7AA0">
            <w:pPr>
              <w:pStyle w:val="ListParagraph"/>
              <w:rPr>
                <w:sz w:val="24"/>
                <w:szCs w:val="24"/>
              </w:rPr>
            </w:pPr>
            <w:r w:rsidRPr="00DF7AA0">
              <w:rPr>
                <w:sz w:val="24"/>
                <w:szCs w:val="24"/>
              </w:rPr>
              <w:t>30 days</w:t>
            </w:r>
          </w:p>
        </w:tc>
      </w:tr>
      <w:tr w:rsidR="00DF7AA0" w:rsidRPr="00DF7AA0" w14:paraId="44597181" w14:textId="77777777" w:rsidTr="006E739B">
        <w:trPr>
          <w:jc w:val="center"/>
        </w:trPr>
        <w:tc>
          <w:tcPr>
            <w:tcW w:w="4320" w:type="dxa"/>
            <w:hideMark/>
          </w:tcPr>
          <w:p w14:paraId="2CB50078" w14:textId="77777777" w:rsidR="00DF7AA0" w:rsidRPr="00DF7AA0" w:rsidRDefault="00DF7AA0" w:rsidP="00DF7AA0">
            <w:pPr>
              <w:pStyle w:val="ListParagraph"/>
              <w:rPr>
                <w:sz w:val="24"/>
                <w:szCs w:val="24"/>
              </w:rPr>
            </w:pPr>
            <w:r w:rsidRPr="00DF7AA0">
              <w:rPr>
                <w:sz w:val="24"/>
                <w:szCs w:val="24"/>
              </w:rPr>
              <w:lastRenderedPageBreak/>
              <w:t>Determination on appeal of urgent claims (filed &gt;24 hours before termination)</w:t>
            </w:r>
          </w:p>
        </w:tc>
        <w:tc>
          <w:tcPr>
            <w:tcW w:w="4320" w:type="dxa"/>
            <w:hideMark/>
          </w:tcPr>
          <w:p w14:paraId="36DFD775" w14:textId="77777777" w:rsidR="00DF7AA0" w:rsidRPr="00DF7AA0" w:rsidRDefault="00DF7AA0" w:rsidP="00DF7AA0">
            <w:pPr>
              <w:pStyle w:val="ListParagraph"/>
              <w:rPr>
                <w:sz w:val="24"/>
                <w:szCs w:val="24"/>
              </w:rPr>
            </w:pPr>
            <w:r w:rsidRPr="00DF7AA0">
              <w:rPr>
                <w:sz w:val="24"/>
                <w:szCs w:val="24"/>
              </w:rPr>
              <w:t>24 hours</w:t>
            </w:r>
          </w:p>
        </w:tc>
      </w:tr>
      <w:tr w:rsidR="00DF7AA0" w:rsidRPr="00DF7AA0" w14:paraId="7C47EE47" w14:textId="77777777" w:rsidTr="006E739B">
        <w:trPr>
          <w:jc w:val="center"/>
        </w:trPr>
        <w:tc>
          <w:tcPr>
            <w:tcW w:w="4320" w:type="dxa"/>
            <w:hideMark/>
          </w:tcPr>
          <w:p w14:paraId="36643F13" w14:textId="77777777" w:rsidR="00DF7AA0" w:rsidRPr="00DF7AA0" w:rsidRDefault="00DF7AA0" w:rsidP="00DF7AA0">
            <w:pPr>
              <w:pStyle w:val="ListParagraph"/>
              <w:rPr>
                <w:sz w:val="24"/>
                <w:szCs w:val="24"/>
              </w:rPr>
            </w:pPr>
            <w:r w:rsidRPr="00DF7AA0">
              <w:rPr>
                <w:sz w:val="24"/>
                <w:szCs w:val="24"/>
              </w:rPr>
              <w:t>Notification of adverse benefit determination on appeal (non-urgent)</w:t>
            </w:r>
          </w:p>
        </w:tc>
        <w:tc>
          <w:tcPr>
            <w:tcW w:w="4320" w:type="dxa"/>
            <w:hideMark/>
          </w:tcPr>
          <w:p w14:paraId="3ED4943E" w14:textId="77777777" w:rsidR="00DF7AA0" w:rsidRPr="00DF7AA0" w:rsidRDefault="00DF7AA0" w:rsidP="00DF7AA0">
            <w:pPr>
              <w:pStyle w:val="ListParagraph"/>
              <w:rPr>
                <w:sz w:val="24"/>
                <w:szCs w:val="24"/>
              </w:rPr>
            </w:pPr>
            <w:r w:rsidRPr="00DF7AA0">
              <w:rPr>
                <w:sz w:val="24"/>
                <w:szCs w:val="24"/>
              </w:rPr>
              <w:t>As soon as feasible, but not more than 30 days</w:t>
            </w:r>
          </w:p>
        </w:tc>
      </w:tr>
    </w:tbl>
    <w:p w14:paraId="6E8D1F3D" w14:textId="77777777" w:rsidR="00DF7AA0" w:rsidRPr="00DF7AA0" w:rsidRDefault="00DF7AA0" w:rsidP="00DF7AA0">
      <w:pPr>
        <w:pStyle w:val="ListParagraph"/>
        <w:rPr>
          <w:sz w:val="24"/>
          <w:szCs w:val="24"/>
        </w:rPr>
      </w:pPr>
      <w:r w:rsidRPr="00DF7AA0">
        <w:rPr>
          <w:b/>
          <w:sz w:val="24"/>
          <w:szCs w:val="24"/>
        </w:rPr>
        <w:t>6.3 Pre-Service Claims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F7AA0" w:rsidRPr="00DF7AA0" w14:paraId="71922D88" w14:textId="77777777" w:rsidTr="006E739B">
        <w:trPr>
          <w:jc w:val="center"/>
        </w:trPr>
        <w:tc>
          <w:tcPr>
            <w:tcW w:w="4320" w:type="dxa"/>
            <w:hideMark/>
          </w:tcPr>
          <w:p w14:paraId="36F45455" w14:textId="77777777" w:rsidR="00DF7AA0" w:rsidRPr="00DF7AA0" w:rsidRDefault="00DF7AA0" w:rsidP="00DF7AA0">
            <w:pPr>
              <w:pStyle w:val="ListParagraph"/>
              <w:rPr>
                <w:b/>
                <w:bCs/>
                <w:sz w:val="24"/>
                <w:szCs w:val="24"/>
              </w:rPr>
            </w:pPr>
            <w:r w:rsidRPr="00DF7AA0">
              <w:rPr>
                <w:b/>
                <w:bCs/>
                <w:sz w:val="24"/>
                <w:szCs w:val="24"/>
              </w:rPr>
              <w:t>Event</w:t>
            </w:r>
          </w:p>
        </w:tc>
        <w:tc>
          <w:tcPr>
            <w:tcW w:w="4320" w:type="dxa"/>
            <w:hideMark/>
          </w:tcPr>
          <w:p w14:paraId="56540D61" w14:textId="77777777" w:rsidR="00DF7AA0" w:rsidRPr="00DF7AA0" w:rsidRDefault="00DF7AA0" w:rsidP="00DF7AA0">
            <w:pPr>
              <w:pStyle w:val="ListParagraph"/>
              <w:rPr>
                <w:b/>
                <w:bCs/>
                <w:sz w:val="24"/>
                <w:szCs w:val="24"/>
              </w:rPr>
            </w:pPr>
            <w:r w:rsidRPr="00DF7AA0">
              <w:rPr>
                <w:b/>
                <w:bCs/>
                <w:sz w:val="24"/>
                <w:szCs w:val="24"/>
              </w:rPr>
              <w:t>Timeframe</w:t>
            </w:r>
          </w:p>
        </w:tc>
      </w:tr>
      <w:tr w:rsidR="00DF7AA0" w:rsidRPr="00DF7AA0" w14:paraId="48EB471B" w14:textId="77777777" w:rsidTr="006E739B">
        <w:trPr>
          <w:jc w:val="center"/>
        </w:trPr>
        <w:tc>
          <w:tcPr>
            <w:tcW w:w="4320" w:type="dxa"/>
            <w:hideMark/>
          </w:tcPr>
          <w:p w14:paraId="0FE9BECF" w14:textId="77777777" w:rsidR="00DF7AA0" w:rsidRPr="00DF7AA0" w:rsidRDefault="00DF7AA0" w:rsidP="00DF7AA0">
            <w:pPr>
              <w:pStyle w:val="ListParagraph"/>
              <w:rPr>
                <w:sz w:val="24"/>
                <w:szCs w:val="24"/>
              </w:rPr>
            </w:pPr>
            <w:r w:rsidRPr="00DF7AA0">
              <w:rPr>
                <w:sz w:val="24"/>
                <w:szCs w:val="24"/>
              </w:rPr>
              <w:t>Notification of adverse benefit determination</w:t>
            </w:r>
          </w:p>
        </w:tc>
        <w:tc>
          <w:tcPr>
            <w:tcW w:w="4320" w:type="dxa"/>
            <w:hideMark/>
          </w:tcPr>
          <w:p w14:paraId="1549BD2E" w14:textId="77777777" w:rsidR="00DF7AA0" w:rsidRPr="00DF7AA0" w:rsidRDefault="00DF7AA0" w:rsidP="00DF7AA0">
            <w:pPr>
              <w:pStyle w:val="ListParagraph"/>
              <w:rPr>
                <w:sz w:val="24"/>
                <w:szCs w:val="24"/>
              </w:rPr>
            </w:pPr>
            <w:r w:rsidRPr="00DF7AA0">
              <w:rPr>
                <w:sz w:val="24"/>
                <w:szCs w:val="24"/>
              </w:rPr>
              <w:t>15 calendar days</w:t>
            </w:r>
          </w:p>
        </w:tc>
      </w:tr>
      <w:tr w:rsidR="00DF7AA0" w:rsidRPr="00DF7AA0" w14:paraId="0CCFC18F" w14:textId="77777777" w:rsidTr="006E739B">
        <w:trPr>
          <w:jc w:val="center"/>
        </w:trPr>
        <w:tc>
          <w:tcPr>
            <w:tcW w:w="4320" w:type="dxa"/>
            <w:hideMark/>
          </w:tcPr>
          <w:p w14:paraId="0513B5E6" w14:textId="77777777" w:rsidR="00DF7AA0" w:rsidRPr="00DF7AA0" w:rsidRDefault="00DF7AA0" w:rsidP="00DF7AA0">
            <w:pPr>
              <w:pStyle w:val="ListParagraph"/>
              <w:rPr>
                <w:sz w:val="24"/>
                <w:szCs w:val="24"/>
              </w:rPr>
            </w:pPr>
            <w:r w:rsidRPr="00DF7AA0">
              <w:rPr>
                <w:sz w:val="24"/>
                <w:szCs w:val="24"/>
              </w:rPr>
              <w:t>Extension due to matters beyond the control of the plan</w:t>
            </w:r>
          </w:p>
        </w:tc>
        <w:tc>
          <w:tcPr>
            <w:tcW w:w="4320" w:type="dxa"/>
            <w:hideMark/>
          </w:tcPr>
          <w:p w14:paraId="6035D8EC" w14:textId="77777777" w:rsidR="00DF7AA0" w:rsidRPr="00DF7AA0" w:rsidRDefault="00DF7AA0" w:rsidP="00DF7AA0">
            <w:pPr>
              <w:pStyle w:val="ListParagraph"/>
              <w:rPr>
                <w:sz w:val="24"/>
                <w:szCs w:val="24"/>
              </w:rPr>
            </w:pPr>
            <w:r w:rsidRPr="00DF7AA0">
              <w:rPr>
                <w:sz w:val="24"/>
                <w:szCs w:val="24"/>
              </w:rPr>
              <w:t>15 calendar days</w:t>
            </w:r>
          </w:p>
        </w:tc>
      </w:tr>
      <w:tr w:rsidR="00DF7AA0" w:rsidRPr="00DF7AA0" w14:paraId="091AB224" w14:textId="77777777" w:rsidTr="006E739B">
        <w:trPr>
          <w:jc w:val="center"/>
        </w:trPr>
        <w:tc>
          <w:tcPr>
            <w:tcW w:w="4320" w:type="dxa"/>
            <w:hideMark/>
          </w:tcPr>
          <w:p w14:paraId="19414D0A" w14:textId="77777777" w:rsidR="00DF7AA0" w:rsidRPr="00DF7AA0" w:rsidRDefault="00DF7AA0" w:rsidP="00DF7AA0">
            <w:pPr>
              <w:pStyle w:val="ListParagraph"/>
              <w:rPr>
                <w:sz w:val="24"/>
                <w:szCs w:val="24"/>
              </w:rPr>
            </w:pPr>
            <w:r w:rsidRPr="00DF7AA0">
              <w:rPr>
                <w:sz w:val="24"/>
                <w:szCs w:val="24"/>
              </w:rPr>
              <w:t>Notification of insufficient information on the claim</w:t>
            </w:r>
          </w:p>
        </w:tc>
        <w:tc>
          <w:tcPr>
            <w:tcW w:w="4320" w:type="dxa"/>
            <w:hideMark/>
          </w:tcPr>
          <w:p w14:paraId="7935340C" w14:textId="77777777" w:rsidR="00DF7AA0" w:rsidRPr="00DF7AA0" w:rsidRDefault="00DF7AA0" w:rsidP="00DF7AA0">
            <w:pPr>
              <w:pStyle w:val="ListParagraph"/>
              <w:rPr>
                <w:sz w:val="24"/>
                <w:szCs w:val="24"/>
              </w:rPr>
            </w:pPr>
            <w:r w:rsidRPr="00DF7AA0">
              <w:rPr>
                <w:sz w:val="24"/>
                <w:szCs w:val="24"/>
              </w:rPr>
              <w:t>15 days</w:t>
            </w:r>
          </w:p>
        </w:tc>
      </w:tr>
      <w:tr w:rsidR="00DF7AA0" w:rsidRPr="00DF7AA0" w14:paraId="6995C2AB" w14:textId="77777777" w:rsidTr="006E739B">
        <w:trPr>
          <w:jc w:val="center"/>
        </w:trPr>
        <w:tc>
          <w:tcPr>
            <w:tcW w:w="4320" w:type="dxa"/>
            <w:hideMark/>
          </w:tcPr>
          <w:p w14:paraId="6030B344" w14:textId="77777777" w:rsidR="00DF7AA0" w:rsidRPr="00DF7AA0" w:rsidRDefault="00DF7AA0" w:rsidP="00DF7AA0">
            <w:pPr>
              <w:pStyle w:val="ListParagraph"/>
              <w:rPr>
                <w:sz w:val="24"/>
                <w:szCs w:val="24"/>
              </w:rPr>
            </w:pPr>
            <w:r w:rsidRPr="00DF7AA0">
              <w:rPr>
                <w:sz w:val="24"/>
                <w:szCs w:val="24"/>
              </w:rPr>
              <w:t>Response by claimant after insufficient information notice</w:t>
            </w:r>
          </w:p>
        </w:tc>
        <w:tc>
          <w:tcPr>
            <w:tcW w:w="4320" w:type="dxa"/>
            <w:hideMark/>
          </w:tcPr>
          <w:p w14:paraId="475A2DA4" w14:textId="77777777" w:rsidR="00DF7AA0" w:rsidRPr="00DF7AA0" w:rsidRDefault="00DF7AA0" w:rsidP="00DF7AA0">
            <w:pPr>
              <w:pStyle w:val="ListParagraph"/>
              <w:rPr>
                <w:sz w:val="24"/>
                <w:szCs w:val="24"/>
              </w:rPr>
            </w:pPr>
            <w:r w:rsidRPr="00DF7AA0">
              <w:rPr>
                <w:sz w:val="24"/>
                <w:szCs w:val="24"/>
              </w:rPr>
              <w:t>45 days</w:t>
            </w:r>
          </w:p>
        </w:tc>
      </w:tr>
      <w:tr w:rsidR="00DF7AA0" w:rsidRPr="00DF7AA0" w14:paraId="5267098D" w14:textId="77777777" w:rsidTr="006E739B">
        <w:trPr>
          <w:jc w:val="center"/>
        </w:trPr>
        <w:tc>
          <w:tcPr>
            <w:tcW w:w="4320" w:type="dxa"/>
            <w:hideMark/>
          </w:tcPr>
          <w:p w14:paraId="315A0F03" w14:textId="77777777" w:rsidR="00DF7AA0" w:rsidRPr="00DF7AA0" w:rsidRDefault="00DF7AA0" w:rsidP="00DF7AA0">
            <w:pPr>
              <w:pStyle w:val="ListParagraph"/>
              <w:rPr>
                <w:sz w:val="24"/>
                <w:szCs w:val="24"/>
              </w:rPr>
            </w:pPr>
            <w:r w:rsidRPr="00DF7AA0">
              <w:rPr>
                <w:sz w:val="24"/>
                <w:szCs w:val="24"/>
              </w:rPr>
              <w:t>Notification (oral/written) of failure to follow plan's filing procedures</w:t>
            </w:r>
          </w:p>
        </w:tc>
        <w:tc>
          <w:tcPr>
            <w:tcW w:w="4320" w:type="dxa"/>
            <w:hideMark/>
          </w:tcPr>
          <w:p w14:paraId="66FEA75A" w14:textId="77777777" w:rsidR="00DF7AA0" w:rsidRPr="00DF7AA0" w:rsidRDefault="00DF7AA0" w:rsidP="00DF7AA0">
            <w:pPr>
              <w:pStyle w:val="ListParagraph"/>
              <w:rPr>
                <w:sz w:val="24"/>
                <w:szCs w:val="24"/>
              </w:rPr>
            </w:pPr>
            <w:r w:rsidRPr="00DF7AA0">
              <w:rPr>
                <w:sz w:val="24"/>
                <w:szCs w:val="24"/>
              </w:rPr>
              <w:t>5 days</w:t>
            </w:r>
          </w:p>
        </w:tc>
      </w:tr>
      <w:tr w:rsidR="00DF7AA0" w:rsidRPr="00DF7AA0" w14:paraId="7C33D0F8" w14:textId="77777777" w:rsidTr="006E739B">
        <w:trPr>
          <w:jc w:val="center"/>
        </w:trPr>
        <w:tc>
          <w:tcPr>
            <w:tcW w:w="4320" w:type="dxa"/>
            <w:hideMark/>
          </w:tcPr>
          <w:p w14:paraId="55E6489A" w14:textId="77777777" w:rsidR="00DF7AA0" w:rsidRPr="00DF7AA0" w:rsidRDefault="00DF7AA0" w:rsidP="00DF7AA0">
            <w:pPr>
              <w:pStyle w:val="ListParagraph"/>
              <w:rPr>
                <w:sz w:val="24"/>
                <w:szCs w:val="24"/>
              </w:rPr>
            </w:pPr>
            <w:r w:rsidRPr="00DF7AA0">
              <w:rPr>
                <w:sz w:val="24"/>
                <w:szCs w:val="24"/>
              </w:rPr>
              <w:t>Notification of adverse benefit determination on appeal</w:t>
            </w:r>
          </w:p>
        </w:tc>
        <w:tc>
          <w:tcPr>
            <w:tcW w:w="4320" w:type="dxa"/>
            <w:hideMark/>
          </w:tcPr>
          <w:p w14:paraId="7E7C28BD" w14:textId="77777777" w:rsidR="00DF7AA0" w:rsidRPr="00DF7AA0" w:rsidRDefault="00DF7AA0" w:rsidP="00DF7AA0">
            <w:pPr>
              <w:pStyle w:val="ListParagraph"/>
              <w:rPr>
                <w:sz w:val="24"/>
                <w:szCs w:val="24"/>
              </w:rPr>
            </w:pPr>
            <w:r w:rsidRPr="00DF7AA0">
              <w:rPr>
                <w:sz w:val="24"/>
                <w:szCs w:val="24"/>
              </w:rPr>
              <w:t>30 days</w:t>
            </w:r>
          </w:p>
        </w:tc>
      </w:tr>
    </w:tbl>
    <w:p w14:paraId="6AE4B31A" w14:textId="77777777" w:rsidR="00DF7AA0" w:rsidRPr="00DF7AA0" w:rsidRDefault="00DF7AA0" w:rsidP="00DF7AA0">
      <w:pPr>
        <w:pStyle w:val="ListParagraph"/>
        <w:rPr>
          <w:sz w:val="24"/>
          <w:szCs w:val="24"/>
        </w:rPr>
      </w:pPr>
      <w:r w:rsidRPr="00DF7AA0">
        <w:rPr>
          <w:b/>
          <w:sz w:val="24"/>
          <w:szCs w:val="24"/>
        </w:rPr>
        <w:t>6.4 Post-Service Claims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F7AA0" w:rsidRPr="00DF7AA0" w14:paraId="6C7F7561" w14:textId="77777777" w:rsidTr="006E739B">
        <w:trPr>
          <w:jc w:val="center"/>
        </w:trPr>
        <w:tc>
          <w:tcPr>
            <w:tcW w:w="4320" w:type="dxa"/>
            <w:hideMark/>
          </w:tcPr>
          <w:p w14:paraId="62B7D3C5" w14:textId="77777777" w:rsidR="00DF7AA0" w:rsidRPr="00DF7AA0" w:rsidRDefault="00DF7AA0" w:rsidP="00DF7AA0">
            <w:pPr>
              <w:pStyle w:val="ListParagraph"/>
              <w:rPr>
                <w:b/>
                <w:bCs/>
                <w:sz w:val="24"/>
                <w:szCs w:val="24"/>
              </w:rPr>
            </w:pPr>
            <w:r w:rsidRPr="00DF7AA0">
              <w:rPr>
                <w:b/>
                <w:bCs/>
                <w:sz w:val="24"/>
                <w:szCs w:val="24"/>
              </w:rPr>
              <w:t>Event</w:t>
            </w:r>
          </w:p>
        </w:tc>
        <w:tc>
          <w:tcPr>
            <w:tcW w:w="4320" w:type="dxa"/>
            <w:hideMark/>
          </w:tcPr>
          <w:p w14:paraId="414418FD" w14:textId="77777777" w:rsidR="00DF7AA0" w:rsidRPr="00DF7AA0" w:rsidRDefault="00DF7AA0" w:rsidP="00DF7AA0">
            <w:pPr>
              <w:pStyle w:val="ListParagraph"/>
              <w:rPr>
                <w:b/>
                <w:bCs/>
                <w:sz w:val="24"/>
                <w:szCs w:val="24"/>
              </w:rPr>
            </w:pPr>
            <w:r w:rsidRPr="00DF7AA0">
              <w:rPr>
                <w:b/>
                <w:bCs/>
                <w:sz w:val="24"/>
                <w:szCs w:val="24"/>
              </w:rPr>
              <w:t>Timeframe</w:t>
            </w:r>
          </w:p>
        </w:tc>
      </w:tr>
      <w:tr w:rsidR="00DF7AA0" w:rsidRPr="00DF7AA0" w14:paraId="7444E50F" w14:textId="77777777" w:rsidTr="006E739B">
        <w:trPr>
          <w:jc w:val="center"/>
        </w:trPr>
        <w:tc>
          <w:tcPr>
            <w:tcW w:w="4320" w:type="dxa"/>
            <w:hideMark/>
          </w:tcPr>
          <w:p w14:paraId="70C6F169" w14:textId="77777777" w:rsidR="00DF7AA0" w:rsidRPr="00DF7AA0" w:rsidRDefault="00DF7AA0" w:rsidP="00DF7AA0">
            <w:pPr>
              <w:pStyle w:val="ListParagraph"/>
              <w:rPr>
                <w:sz w:val="24"/>
                <w:szCs w:val="24"/>
              </w:rPr>
            </w:pPr>
            <w:r w:rsidRPr="00DF7AA0">
              <w:rPr>
                <w:sz w:val="24"/>
                <w:szCs w:val="24"/>
              </w:rPr>
              <w:t>Notification of adverse benefit determination</w:t>
            </w:r>
          </w:p>
        </w:tc>
        <w:tc>
          <w:tcPr>
            <w:tcW w:w="4320" w:type="dxa"/>
            <w:hideMark/>
          </w:tcPr>
          <w:p w14:paraId="1B284DFF" w14:textId="77777777" w:rsidR="00DF7AA0" w:rsidRPr="00DF7AA0" w:rsidRDefault="00DF7AA0" w:rsidP="00DF7AA0">
            <w:pPr>
              <w:pStyle w:val="ListParagraph"/>
              <w:rPr>
                <w:sz w:val="24"/>
                <w:szCs w:val="24"/>
              </w:rPr>
            </w:pPr>
            <w:r w:rsidRPr="00DF7AA0">
              <w:rPr>
                <w:sz w:val="24"/>
                <w:szCs w:val="24"/>
              </w:rPr>
              <w:t>30 days</w:t>
            </w:r>
          </w:p>
        </w:tc>
      </w:tr>
      <w:tr w:rsidR="00DF7AA0" w:rsidRPr="00DF7AA0" w14:paraId="4F9B7870" w14:textId="77777777" w:rsidTr="006E739B">
        <w:trPr>
          <w:jc w:val="center"/>
        </w:trPr>
        <w:tc>
          <w:tcPr>
            <w:tcW w:w="4320" w:type="dxa"/>
            <w:hideMark/>
          </w:tcPr>
          <w:p w14:paraId="12145DD9" w14:textId="77777777" w:rsidR="00DF7AA0" w:rsidRPr="00DF7AA0" w:rsidRDefault="00DF7AA0" w:rsidP="00DF7AA0">
            <w:pPr>
              <w:pStyle w:val="ListParagraph"/>
              <w:rPr>
                <w:sz w:val="24"/>
                <w:szCs w:val="24"/>
              </w:rPr>
            </w:pPr>
            <w:r w:rsidRPr="00DF7AA0">
              <w:rPr>
                <w:sz w:val="24"/>
                <w:szCs w:val="24"/>
              </w:rPr>
              <w:t>Extension due to matters beyond the control of the plan</w:t>
            </w:r>
          </w:p>
        </w:tc>
        <w:tc>
          <w:tcPr>
            <w:tcW w:w="4320" w:type="dxa"/>
            <w:hideMark/>
          </w:tcPr>
          <w:p w14:paraId="326108CD" w14:textId="77777777" w:rsidR="00DF7AA0" w:rsidRPr="00DF7AA0" w:rsidRDefault="00DF7AA0" w:rsidP="00DF7AA0">
            <w:pPr>
              <w:pStyle w:val="ListParagraph"/>
              <w:rPr>
                <w:sz w:val="24"/>
                <w:szCs w:val="24"/>
              </w:rPr>
            </w:pPr>
            <w:r w:rsidRPr="00DF7AA0">
              <w:rPr>
                <w:sz w:val="24"/>
                <w:szCs w:val="24"/>
              </w:rPr>
              <w:t>15 days</w:t>
            </w:r>
          </w:p>
        </w:tc>
      </w:tr>
      <w:tr w:rsidR="00DF7AA0" w:rsidRPr="00DF7AA0" w14:paraId="19414A19" w14:textId="77777777" w:rsidTr="006E739B">
        <w:trPr>
          <w:jc w:val="center"/>
        </w:trPr>
        <w:tc>
          <w:tcPr>
            <w:tcW w:w="4320" w:type="dxa"/>
            <w:hideMark/>
          </w:tcPr>
          <w:p w14:paraId="1A6843F8" w14:textId="77777777" w:rsidR="00DF7AA0" w:rsidRPr="00DF7AA0" w:rsidRDefault="00DF7AA0" w:rsidP="00DF7AA0">
            <w:pPr>
              <w:pStyle w:val="ListParagraph"/>
              <w:rPr>
                <w:sz w:val="24"/>
                <w:szCs w:val="24"/>
              </w:rPr>
            </w:pPr>
            <w:r w:rsidRPr="00DF7AA0">
              <w:rPr>
                <w:sz w:val="24"/>
                <w:szCs w:val="24"/>
              </w:rPr>
              <w:t>Extension due to insufficient information on the claim</w:t>
            </w:r>
          </w:p>
        </w:tc>
        <w:tc>
          <w:tcPr>
            <w:tcW w:w="4320" w:type="dxa"/>
            <w:hideMark/>
          </w:tcPr>
          <w:p w14:paraId="2D044E6C" w14:textId="77777777" w:rsidR="00DF7AA0" w:rsidRPr="00DF7AA0" w:rsidRDefault="00DF7AA0" w:rsidP="00DF7AA0">
            <w:pPr>
              <w:pStyle w:val="ListParagraph"/>
              <w:rPr>
                <w:sz w:val="24"/>
                <w:szCs w:val="24"/>
              </w:rPr>
            </w:pPr>
            <w:r w:rsidRPr="00DF7AA0">
              <w:rPr>
                <w:sz w:val="24"/>
                <w:szCs w:val="24"/>
              </w:rPr>
              <w:t>15 days</w:t>
            </w:r>
          </w:p>
        </w:tc>
      </w:tr>
      <w:tr w:rsidR="00DF7AA0" w:rsidRPr="00DF7AA0" w14:paraId="0BEC3646" w14:textId="77777777" w:rsidTr="006E739B">
        <w:trPr>
          <w:jc w:val="center"/>
        </w:trPr>
        <w:tc>
          <w:tcPr>
            <w:tcW w:w="4320" w:type="dxa"/>
            <w:hideMark/>
          </w:tcPr>
          <w:p w14:paraId="78C451C8" w14:textId="77777777" w:rsidR="00DF7AA0" w:rsidRPr="00DF7AA0" w:rsidRDefault="00DF7AA0" w:rsidP="00DF7AA0">
            <w:pPr>
              <w:pStyle w:val="ListParagraph"/>
              <w:rPr>
                <w:sz w:val="24"/>
                <w:szCs w:val="24"/>
              </w:rPr>
            </w:pPr>
            <w:r w:rsidRPr="00DF7AA0">
              <w:rPr>
                <w:sz w:val="24"/>
                <w:szCs w:val="24"/>
              </w:rPr>
              <w:t>Response by claimant after insufficient information notice</w:t>
            </w:r>
          </w:p>
        </w:tc>
        <w:tc>
          <w:tcPr>
            <w:tcW w:w="4320" w:type="dxa"/>
            <w:hideMark/>
          </w:tcPr>
          <w:p w14:paraId="1E826869" w14:textId="77777777" w:rsidR="00DF7AA0" w:rsidRPr="00DF7AA0" w:rsidRDefault="00DF7AA0" w:rsidP="00DF7AA0">
            <w:pPr>
              <w:pStyle w:val="ListParagraph"/>
              <w:rPr>
                <w:sz w:val="24"/>
                <w:szCs w:val="24"/>
              </w:rPr>
            </w:pPr>
            <w:r w:rsidRPr="00DF7AA0">
              <w:rPr>
                <w:sz w:val="24"/>
                <w:szCs w:val="24"/>
              </w:rPr>
              <w:t>45 days</w:t>
            </w:r>
          </w:p>
        </w:tc>
      </w:tr>
      <w:tr w:rsidR="00DF7AA0" w:rsidRPr="00DF7AA0" w14:paraId="2DEDE622" w14:textId="77777777" w:rsidTr="006E739B">
        <w:trPr>
          <w:jc w:val="center"/>
        </w:trPr>
        <w:tc>
          <w:tcPr>
            <w:tcW w:w="4320" w:type="dxa"/>
            <w:hideMark/>
          </w:tcPr>
          <w:p w14:paraId="7FEAE2C2" w14:textId="77777777" w:rsidR="00DF7AA0" w:rsidRPr="00DF7AA0" w:rsidRDefault="00DF7AA0" w:rsidP="00DF7AA0">
            <w:pPr>
              <w:pStyle w:val="ListParagraph"/>
              <w:rPr>
                <w:sz w:val="24"/>
                <w:szCs w:val="24"/>
              </w:rPr>
            </w:pPr>
            <w:r w:rsidRPr="00DF7AA0">
              <w:rPr>
                <w:sz w:val="24"/>
                <w:szCs w:val="24"/>
              </w:rPr>
              <w:lastRenderedPageBreak/>
              <w:t>Notification of adverse benefit determination on appeal</w:t>
            </w:r>
          </w:p>
        </w:tc>
        <w:tc>
          <w:tcPr>
            <w:tcW w:w="4320" w:type="dxa"/>
            <w:hideMark/>
          </w:tcPr>
          <w:p w14:paraId="710A29AE" w14:textId="77777777" w:rsidR="00DF7AA0" w:rsidRPr="00DF7AA0" w:rsidRDefault="00DF7AA0" w:rsidP="00DF7AA0">
            <w:pPr>
              <w:pStyle w:val="ListParagraph"/>
              <w:rPr>
                <w:sz w:val="24"/>
                <w:szCs w:val="24"/>
              </w:rPr>
            </w:pPr>
            <w:r w:rsidRPr="00DF7AA0">
              <w:rPr>
                <w:sz w:val="24"/>
                <w:szCs w:val="24"/>
              </w:rPr>
              <w:t>60 days</w:t>
            </w:r>
          </w:p>
        </w:tc>
      </w:tr>
    </w:tbl>
    <w:p w14:paraId="616CD1FE" w14:textId="77777777" w:rsidR="00DC415B" w:rsidRPr="00DC415B" w:rsidRDefault="00DC415B" w:rsidP="00DC415B">
      <w:pPr>
        <w:pStyle w:val="ListParagraph"/>
        <w:rPr>
          <w:sz w:val="24"/>
          <w:szCs w:val="24"/>
        </w:rPr>
      </w:pPr>
    </w:p>
    <w:p w14:paraId="21BCC648" w14:textId="709EA2FC" w:rsidR="00D455C6" w:rsidRPr="00D455C6" w:rsidRDefault="00DF7AA0" w:rsidP="007D3603">
      <w:pPr>
        <w:pStyle w:val="ListParagraph"/>
        <w:numPr>
          <w:ilvl w:val="0"/>
          <w:numId w:val="2"/>
        </w:numPr>
        <w:rPr>
          <w:sz w:val="24"/>
          <w:szCs w:val="24"/>
        </w:rPr>
      </w:pPr>
      <w:r>
        <w:rPr>
          <w:color w:val="0072BC" w:themeColor="text2"/>
          <w:sz w:val="32"/>
          <w:szCs w:val="32"/>
        </w:rPr>
        <w:t xml:space="preserve">WRITTEN NOTICE STANDARDS </w:t>
      </w:r>
    </w:p>
    <w:p w14:paraId="5F2062B1" w14:textId="77777777" w:rsidR="00DF7AA0" w:rsidRDefault="00DF7AA0" w:rsidP="007D3603">
      <w:pPr>
        <w:pStyle w:val="ListParagraph"/>
        <w:numPr>
          <w:ilvl w:val="0"/>
          <w:numId w:val="9"/>
        </w:numPr>
      </w:pPr>
      <w:r>
        <w:t>Specific reasons for the decision.</w:t>
      </w:r>
    </w:p>
    <w:p w14:paraId="78770108" w14:textId="77777777" w:rsidR="00DF7AA0" w:rsidRDefault="00DF7AA0" w:rsidP="007D3603">
      <w:pPr>
        <w:pStyle w:val="ListParagraph"/>
        <w:numPr>
          <w:ilvl w:val="0"/>
          <w:numId w:val="9"/>
        </w:numPr>
      </w:pPr>
      <w:r>
        <w:t>References to plan provisions and/or clinical/medical necessity guidelines; provide copies of internal rules/guidelines upon request at no charge.</w:t>
      </w:r>
    </w:p>
    <w:p w14:paraId="086F7CDB" w14:textId="77777777" w:rsidR="00DF7AA0" w:rsidRDefault="00DF7AA0" w:rsidP="007D3603">
      <w:pPr>
        <w:pStyle w:val="ListParagraph"/>
        <w:numPr>
          <w:ilvl w:val="0"/>
          <w:numId w:val="9"/>
        </w:numPr>
      </w:pPr>
      <w:r>
        <w:t>Description of appeal procedures and time limits; for ERISA plans, the right to bring a civil action under ERISA §502 after final internal denial, if applicable.</w:t>
      </w:r>
    </w:p>
    <w:p w14:paraId="3815953B" w14:textId="77777777" w:rsidR="00DF7AA0" w:rsidRDefault="00DF7AA0" w:rsidP="007D3603">
      <w:pPr>
        <w:pStyle w:val="ListParagraph"/>
        <w:numPr>
          <w:ilvl w:val="0"/>
          <w:numId w:val="9"/>
        </w:numPr>
      </w:pPr>
      <w:r>
        <w:t>Statement of the claimant’s right to access, free of charge, all documents, records, and information relevant to the claim.</w:t>
      </w:r>
    </w:p>
    <w:p w14:paraId="2F0AD0B3" w14:textId="77777777" w:rsidR="00DF7AA0" w:rsidRDefault="00DF7AA0" w:rsidP="007D3603">
      <w:pPr>
        <w:pStyle w:val="ListParagraph"/>
        <w:numPr>
          <w:ilvl w:val="0"/>
          <w:numId w:val="9"/>
        </w:numPr>
      </w:pPr>
      <w:r>
        <w:t>Verbal or voicemail notification to the member and attending physician/facility when required, followed by written notice.</w:t>
      </w:r>
    </w:p>
    <w:p w14:paraId="4CF53BD1" w14:textId="77777777" w:rsidR="00DF7AA0" w:rsidRDefault="00DF7AA0" w:rsidP="007D3603">
      <w:pPr>
        <w:pStyle w:val="ListParagraph"/>
        <w:numPr>
          <w:ilvl w:val="0"/>
          <w:numId w:val="9"/>
        </w:numPr>
      </w:pPr>
      <w:r>
        <w:t>Notification of availability and instructions for initiating a peer-to-peer conversation, if one has not previously occurred.</w:t>
      </w:r>
    </w:p>
    <w:p w14:paraId="733F7E98" w14:textId="77777777" w:rsidR="00DC415B" w:rsidRPr="00DC415B" w:rsidRDefault="00DC415B" w:rsidP="00DC415B">
      <w:pPr>
        <w:pStyle w:val="ListParagraph"/>
        <w:rPr>
          <w:sz w:val="24"/>
          <w:szCs w:val="24"/>
        </w:rPr>
      </w:pPr>
    </w:p>
    <w:p w14:paraId="4C1112AB" w14:textId="0B06A669" w:rsidR="00DC415B" w:rsidRPr="006E739B" w:rsidRDefault="00D455C6" w:rsidP="007D3603">
      <w:pPr>
        <w:pStyle w:val="ListParagraph"/>
        <w:numPr>
          <w:ilvl w:val="0"/>
          <w:numId w:val="2"/>
        </w:numPr>
        <w:rPr>
          <w:b/>
          <w:bCs/>
          <w:sz w:val="24"/>
          <w:szCs w:val="24"/>
        </w:rPr>
      </w:pPr>
      <w:r>
        <w:rPr>
          <w:color w:val="0072BC" w:themeColor="text2"/>
          <w:sz w:val="32"/>
          <w:szCs w:val="32"/>
        </w:rPr>
        <w:t>KENTUCKY</w:t>
      </w:r>
      <w:r w:rsidR="006E739B">
        <w:rPr>
          <w:color w:val="0072BC" w:themeColor="text2"/>
          <w:sz w:val="32"/>
          <w:szCs w:val="32"/>
        </w:rPr>
        <w:t xml:space="preserve"> STATE SPECIFIC REQUIREMENTS</w:t>
      </w:r>
    </w:p>
    <w:p w14:paraId="1EA6DD57" w14:textId="77777777" w:rsidR="006E739B" w:rsidRDefault="006E739B" w:rsidP="007D3603">
      <w:pPr>
        <w:pStyle w:val="ListBullet"/>
        <w:numPr>
          <w:ilvl w:val="0"/>
          <w:numId w:val="10"/>
        </w:numPr>
      </w:pPr>
      <w:r>
        <w:t>Internal appeal timeframes: Standard 30 calendar days; Expedited (urgent) 72 hours or sooner if medical exigencies require.</w:t>
      </w:r>
    </w:p>
    <w:p w14:paraId="02860B1B" w14:textId="77777777" w:rsidR="006E739B" w:rsidRDefault="006E739B" w:rsidP="007D3603">
      <w:pPr>
        <w:pStyle w:val="ListBullet"/>
        <w:numPr>
          <w:ilvl w:val="0"/>
          <w:numId w:val="10"/>
        </w:numPr>
      </w:pPr>
      <w:r>
        <w:t>Reviewer qualifications: licensed physicians not involved in initial denial; board-eligible/board-certified; (sub)specialty-matched upon request; multiple IREs used on rotation.</w:t>
      </w:r>
    </w:p>
    <w:p w14:paraId="6B64BCA2" w14:textId="77777777" w:rsidR="006E739B" w:rsidRDefault="006E739B" w:rsidP="007D3603">
      <w:pPr>
        <w:pStyle w:val="ListBullet"/>
        <w:numPr>
          <w:ilvl w:val="0"/>
          <w:numId w:val="10"/>
        </w:numPr>
      </w:pPr>
      <w:r>
        <w:t>Continued coverage during internal appeals (ACA §2719 preemption): maintain ongoing treatment; advance notice before reduction/termination; allow simultaneous expedited external review for urgent or ongoing care.</w:t>
      </w:r>
    </w:p>
    <w:p w14:paraId="12A58B0B" w14:textId="77777777" w:rsidR="006E739B" w:rsidRDefault="006E739B" w:rsidP="007D3603">
      <w:pPr>
        <w:pStyle w:val="ListBullet"/>
        <w:numPr>
          <w:ilvl w:val="0"/>
          <w:numId w:val="10"/>
        </w:numPr>
      </w:pPr>
      <w:r>
        <w:t>Appeals deemed exhausted if plan fails to comply (subject to de minimis exception with written explanation within 10 calendar days upon request).</w:t>
      </w:r>
    </w:p>
    <w:p w14:paraId="73D3D6AC" w14:textId="77777777" w:rsidR="006E739B" w:rsidRDefault="006E739B" w:rsidP="007D3603">
      <w:pPr>
        <w:pStyle w:val="ListBullet"/>
        <w:numPr>
          <w:ilvl w:val="0"/>
          <w:numId w:val="10"/>
        </w:numPr>
      </w:pPr>
      <w:r>
        <w:t xml:space="preserve">Recordkeeping: maintain appeal records (reason; dates received, </w:t>
      </w:r>
      <w:proofErr w:type="gramStart"/>
      <w:r>
        <w:t>reviewed, decided</w:t>
      </w:r>
      <w:proofErr w:type="gramEnd"/>
      <w:r>
        <w:t>; outcome; reviewer credentials) for 5 years.</w:t>
      </w:r>
    </w:p>
    <w:p w14:paraId="20DF6EBC" w14:textId="77777777" w:rsidR="006E739B" w:rsidRDefault="006E739B" w:rsidP="007D3603">
      <w:pPr>
        <w:pStyle w:val="ListBullet"/>
        <w:numPr>
          <w:ilvl w:val="0"/>
          <w:numId w:val="10"/>
        </w:numPr>
      </w:pPr>
      <w:r>
        <w:t xml:space="preserve">Coverage denials &amp; DOI: respond within 10 business days to DOI review requests; DOI may direct coverage or immediate external review if medical </w:t>
      </w:r>
      <w:proofErr w:type="gramStart"/>
      <w:r>
        <w:t>issue</w:t>
      </w:r>
      <w:proofErr w:type="gramEnd"/>
      <w:r>
        <w:t xml:space="preserve"> must be evaluated.</w:t>
      </w:r>
    </w:p>
    <w:p w14:paraId="36A7EBA7" w14:textId="77777777" w:rsidR="006E739B" w:rsidRDefault="006E739B" w:rsidP="007D3603">
      <w:pPr>
        <w:pStyle w:val="ListBullet"/>
        <w:numPr>
          <w:ilvl w:val="0"/>
          <w:numId w:val="10"/>
        </w:numPr>
      </w:pPr>
      <w:r>
        <w:t xml:space="preserve">External review: filing window 4 months from final internal decision; expedited external review completed within 24 hours of IRE receiving required info (up to 72 hours by agreement); standard external review </w:t>
      </w:r>
      <w:r>
        <w:lastRenderedPageBreak/>
        <w:t>completed within 21 days of receiving all required info (up to 45 days with permitted extension); member filing fee $25 (annual cap $75; waiver/refund for hardship or overturned decision).</w:t>
      </w:r>
    </w:p>
    <w:p w14:paraId="1768D20F" w14:textId="77777777" w:rsidR="006E739B" w:rsidRPr="00DC415B" w:rsidRDefault="006E739B" w:rsidP="006E739B">
      <w:pPr>
        <w:pStyle w:val="ListParagraph"/>
        <w:ind w:left="360"/>
        <w:rPr>
          <w:b/>
          <w:bCs/>
          <w:sz w:val="24"/>
          <w:szCs w:val="24"/>
        </w:rPr>
      </w:pPr>
    </w:p>
    <w:p w14:paraId="21D60871" w14:textId="44150BB0" w:rsidR="008022C5" w:rsidRPr="00D455C6" w:rsidRDefault="00DE464D" w:rsidP="007D3603">
      <w:pPr>
        <w:pStyle w:val="ListParagraph"/>
        <w:numPr>
          <w:ilvl w:val="0"/>
          <w:numId w:val="2"/>
        </w:numPr>
        <w:rPr>
          <w:rStyle w:val="SubtleReference"/>
          <w:b/>
          <w:bCs/>
          <w:smallCaps w:val="0"/>
          <w:color w:val="0070C0"/>
          <w:sz w:val="44"/>
          <w:szCs w:val="44"/>
        </w:rPr>
      </w:pPr>
      <w:r w:rsidRPr="00D455C6">
        <w:rPr>
          <w:rStyle w:val="SubtleReference"/>
          <w:rFonts w:cstheme="minorHAnsi"/>
          <w:color w:val="0072BC"/>
          <w:sz w:val="32"/>
          <w:szCs w:val="32"/>
        </w:rPr>
        <w:t>Policy History</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180"/>
        <w:gridCol w:w="4704"/>
        <w:gridCol w:w="1514"/>
        <w:gridCol w:w="1427"/>
      </w:tblGrid>
      <w:tr w:rsidR="00AA21DF" w:rsidRPr="00C12902" w14:paraId="124C833D" w14:textId="1540F440" w:rsidTr="007E2B0B">
        <w:trPr>
          <w:cantSplit/>
          <w:jc w:val="center"/>
        </w:trPr>
        <w:tc>
          <w:tcPr>
            <w:tcW w:w="965" w:type="dxa"/>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4674C2F2" w14:textId="237A9184" w:rsidR="00065675" w:rsidRPr="008B477B" w:rsidRDefault="007440BF" w:rsidP="007440BF">
            <w:pPr>
              <w:pStyle w:val="Heading3"/>
              <w:jc w:val="center"/>
              <w:rPr>
                <w:rFonts w:asciiTheme="minorHAnsi" w:hAnsiTheme="minorHAnsi" w:cstheme="minorHAnsi"/>
                <w:b/>
                <w:bCs/>
                <w:color w:val="0072BC"/>
                <w:sz w:val="22"/>
                <w:szCs w:val="22"/>
              </w:rPr>
            </w:pPr>
            <w:r w:rsidRPr="008B477B">
              <w:rPr>
                <w:rFonts w:asciiTheme="minorHAnsi" w:hAnsiTheme="minorHAnsi" w:cstheme="minorHAnsi"/>
                <w:b/>
                <w:bCs/>
                <w:color w:val="0072BC"/>
                <w:sz w:val="22"/>
                <w:szCs w:val="22"/>
              </w:rPr>
              <w:t>Policy Number</w:t>
            </w:r>
          </w:p>
        </w:tc>
        <w:tc>
          <w:tcPr>
            <w:tcW w:w="2180" w:type="dxa"/>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39968683" w14:textId="2F7108EA" w:rsidR="00065675" w:rsidRPr="008B477B" w:rsidRDefault="00FC2914" w:rsidP="000C45A9">
            <w:pPr>
              <w:pStyle w:val="Heading3"/>
              <w:rPr>
                <w:rFonts w:asciiTheme="minorHAnsi" w:hAnsiTheme="minorHAnsi" w:cstheme="minorHAnsi"/>
                <w:b/>
                <w:bCs/>
                <w:color w:val="0072BC"/>
                <w:sz w:val="22"/>
                <w:szCs w:val="22"/>
              </w:rPr>
            </w:pPr>
            <w:r w:rsidRPr="008B477B">
              <w:rPr>
                <w:rFonts w:asciiTheme="minorHAnsi" w:hAnsiTheme="minorHAnsi" w:cstheme="minorHAnsi"/>
                <w:b/>
                <w:bCs/>
                <w:color w:val="0072BC"/>
                <w:sz w:val="22"/>
                <w:szCs w:val="22"/>
              </w:rPr>
              <w:t>Author</w:t>
            </w:r>
          </w:p>
        </w:tc>
        <w:tc>
          <w:tcPr>
            <w:tcW w:w="4704" w:type="dxa"/>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070AD1C0" w14:textId="1DB9BCDE" w:rsidR="00065675" w:rsidRPr="008B477B" w:rsidRDefault="00065675" w:rsidP="000C45A9">
            <w:pPr>
              <w:pStyle w:val="Heading3"/>
              <w:rPr>
                <w:rFonts w:asciiTheme="minorHAnsi" w:hAnsiTheme="minorHAnsi" w:cstheme="minorHAnsi"/>
                <w:b/>
                <w:bCs/>
                <w:color w:val="0072BC"/>
                <w:sz w:val="22"/>
                <w:szCs w:val="22"/>
              </w:rPr>
            </w:pPr>
            <w:r w:rsidRPr="008B477B">
              <w:rPr>
                <w:rFonts w:asciiTheme="minorHAnsi" w:hAnsiTheme="minorHAnsi" w:cstheme="minorHAnsi"/>
                <w:b/>
                <w:bCs/>
                <w:color w:val="0072BC"/>
                <w:sz w:val="22"/>
                <w:szCs w:val="22"/>
              </w:rPr>
              <w:t xml:space="preserve">Description of Change &amp; Reason </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451D5B83" w14:textId="1103015F" w:rsidR="00065675" w:rsidRPr="008B477B" w:rsidRDefault="0000593A" w:rsidP="000C45A9">
            <w:pPr>
              <w:pStyle w:val="Heading3"/>
              <w:rPr>
                <w:rFonts w:asciiTheme="minorHAnsi" w:hAnsiTheme="minorHAnsi" w:cstheme="minorHAnsi"/>
                <w:b/>
                <w:bCs/>
                <w:color w:val="0072BC"/>
                <w:sz w:val="22"/>
                <w:szCs w:val="22"/>
              </w:rPr>
            </w:pPr>
            <w:r w:rsidRPr="008B477B">
              <w:rPr>
                <w:rFonts w:asciiTheme="minorHAnsi" w:hAnsiTheme="minorHAnsi" w:cstheme="minorHAnsi"/>
                <w:b/>
                <w:bCs/>
                <w:color w:val="0072BC"/>
                <w:sz w:val="22"/>
                <w:szCs w:val="22"/>
              </w:rPr>
              <w:t>Approval Date</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77E6EEDF" w14:textId="474E8DE9" w:rsidR="00065675" w:rsidRPr="008B477B" w:rsidRDefault="00AA21DF" w:rsidP="000C45A9">
            <w:pPr>
              <w:pStyle w:val="Heading3"/>
              <w:rPr>
                <w:rFonts w:asciiTheme="minorHAnsi" w:hAnsiTheme="minorHAnsi" w:cstheme="minorHAnsi"/>
                <w:b/>
                <w:bCs/>
                <w:color w:val="0072BC"/>
                <w:sz w:val="22"/>
                <w:szCs w:val="22"/>
              </w:rPr>
            </w:pPr>
            <w:r w:rsidRPr="008B477B">
              <w:rPr>
                <w:rFonts w:asciiTheme="minorHAnsi" w:hAnsiTheme="minorHAnsi" w:cstheme="minorHAnsi"/>
                <w:b/>
                <w:bCs/>
                <w:color w:val="0072BC"/>
                <w:sz w:val="22"/>
                <w:szCs w:val="22"/>
              </w:rPr>
              <w:t xml:space="preserve">Distribution </w:t>
            </w:r>
            <w:r w:rsidR="00065675" w:rsidRPr="008B477B">
              <w:rPr>
                <w:rFonts w:asciiTheme="minorHAnsi" w:hAnsiTheme="minorHAnsi" w:cstheme="minorHAnsi"/>
                <w:b/>
                <w:bCs/>
                <w:color w:val="0072BC"/>
                <w:sz w:val="22"/>
                <w:szCs w:val="22"/>
              </w:rPr>
              <w:t>Date</w:t>
            </w:r>
          </w:p>
        </w:tc>
      </w:tr>
      <w:tr w:rsidR="00AA21DF" w:rsidRPr="00C12902" w14:paraId="624BCDD3" w14:textId="7166E6FB" w:rsidTr="007E2B0B">
        <w:trPr>
          <w:cantSplit/>
          <w:trHeight w:val="475"/>
          <w:jc w:val="center"/>
        </w:trPr>
        <w:tc>
          <w:tcPr>
            <w:tcW w:w="965" w:type="dxa"/>
            <w:tcBorders>
              <w:top w:val="single" w:sz="4" w:space="0" w:color="auto"/>
              <w:left w:val="single" w:sz="4" w:space="0" w:color="auto"/>
              <w:bottom w:val="single" w:sz="4" w:space="0" w:color="auto"/>
              <w:right w:val="single" w:sz="4" w:space="0" w:color="auto"/>
            </w:tcBorders>
            <w:vAlign w:val="center"/>
          </w:tcPr>
          <w:p w14:paraId="1C537C0D" w14:textId="766BEF6A" w:rsidR="00065675" w:rsidRPr="00065675" w:rsidRDefault="00F82937" w:rsidP="000B1813">
            <w:pPr>
              <w:spacing w:after="0" w:line="240" w:lineRule="auto"/>
              <w:rPr>
                <w:sz w:val="20"/>
                <w:szCs w:val="20"/>
              </w:rPr>
            </w:pPr>
            <w:r>
              <w:rPr>
                <w:sz w:val="20"/>
                <w:szCs w:val="20"/>
              </w:rPr>
              <w:t>OP</w:t>
            </w:r>
            <w:r w:rsidR="007E2B0B">
              <w:rPr>
                <w:sz w:val="20"/>
                <w:szCs w:val="20"/>
              </w:rPr>
              <w:t xml:space="preserve"> </w:t>
            </w:r>
            <w:r w:rsidR="00FF7C10">
              <w:rPr>
                <w:sz w:val="20"/>
                <w:szCs w:val="20"/>
              </w:rPr>
              <w:t>2</w:t>
            </w:r>
            <w:r w:rsidR="007E2B0B">
              <w:rPr>
                <w:sz w:val="20"/>
                <w:szCs w:val="20"/>
              </w:rPr>
              <w:t>.0</w:t>
            </w:r>
          </w:p>
        </w:tc>
        <w:tc>
          <w:tcPr>
            <w:tcW w:w="2180" w:type="dxa"/>
            <w:tcBorders>
              <w:top w:val="single" w:sz="4" w:space="0" w:color="auto"/>
              <w:left w:val="single" w:sz="4" w:space="0" w:color="auto"/>
              <w:bottom w:val="single" w:sz="4" w:space="0" w:color="auto"/>
              <w:right w:val="single" w:sz="4" w:space="0" w:color="auto"/>
            </w:tcBorders>
            <w:vAlign w:val="center"/>
          </w:tcPr>
          <w:p w14:paraId="1B8E0406" w14:textId="094F62FB" w:rsidR="00065675" w:rsidRPr="00065675" w:rsidRDefault="0049695B" w:rsidP="000B1813">
            <w:pPr>
              <w:spacing w:after="0" w:line="240" w:lineRule="auto"/>
              <w:rPr>
                <w:sz w:val="20"/>
                <w:szCs w:val="20"/>
              </w:rPr>
            </w:pPr>
            <w:r>
              <w:rPr>
                <w:sz w:val="20"/>
                <w:szCs w:val="20"/>
              </w:rPr>
              <w:t>On File</w:t>
            </w:r>
          </w:p>
        </w:tc>
        <w:tc>
          <w:tcPr>
            <w:tcW w:w="4704" w:type="dxa"/>
            <w:tcBorders>
              <w:top w:val="single" w:sz="4" w:space="0" w:color="auto"/>
              <w:left w:val="single" w:sz="4" w:space="0" w:color="auto"/>
              <w:bottom w:val="single" w:sz="4" w:space="0" w:color="auto"/>
              <w:right w:val="single" w:sz="4" w:space="0" w:color="auto"/>
            </w:tcBorders>
            <w:vAlign w:val="center"/>
          </w:tcPr>
          <w:p w14:paraId="01DDCC4A" w14:textId="38ACEBBA" w:rsidR="00065675" w:rsidRPr="00065675" w:rsidRDefault="00F82937" w:rsidP="000B1813">
            <w:pPr>
              <w:spacing w:after="0" w:line="240" w:lineRule="auto"/>
              <w:rPr>
                <w:sz w:val="20"/>
                <w:szCs w:val="20"/>
              </w:rPr>
            </w:pPr>
            <w:r>
              <w:rPr>
                <w:sz w:val="20"/>
                <w:szCs w:val="20"/>
              </w:rPr>
              <w:t>Initial SOP Drafted</w:t>
            </w:r>
          </w:p>
        </w:tc>
        <w:tc>
          <w:tcPr>
            <w:tcW w:w="1514" w:type="dxa"/>
            <w:tcBorders>
              <w:top w:val="single" w:sz="4" w:space="0" w:color="auto"/>
              <w:left w:val="single" w:sz="4" w:space="0" w:color="auto"/>
              <w:bottom w:val="single" w:sz="4" w:space="0" w:color="auto"/>
              <w:right w:val="single" w:sz="4" w:space="0" w:color="auto"/>
            </w:tcBorders>
            <w:vAlign w:val="center"/>
          </w:tcPr>
          <w:p w14:paraId="34F2D114" w14:textId="7BC7E5B8" w:rsidR="00065675" w:rsidRPr="00065675" w:rsidRDefault="00FF7C10" w:rsidP="50FC4D37">
            <w:pPr>
              <w:spacing w:after="0" w:line="240" w:lineRule="auto"/>
            </w:pPr>
            <w:r>
              <w:t>2</w:t>
            </w:r>
            <w:r w:rsidR="00F82937">
              <w:t>/</w:t>
            </w:r>
            <w:r>
              <w:t>11</w:t>
            </w:r>
            <w:r w:rsidR="00F82937">
              <w:t>/2026</w:t>
            </w:r>
          </w:p>
        </w:tc>
        <w:tc>
          <w:tcPr>
            <w:tcW w:w="1427" w:type="dxa"/>
            <w:tcBorders>
              <w:top w:val="single" w:sz="4" w:space="0" w:color="auto"/>
              <w:left w:val="single" w:sz="4" w:space="0" w:color="auto"/>
              <w:bottom w:val="single" w:sz="4" w:space="0" w:color="auto"/>
              <w:right w:val="single" w:sz="4" w:space="0" w:color="auto"/>
            </w:tcBorders>
            <w:vAlign w:val="center"/>
          </w:tcPr>
          <w:p w14:paraId="13B822B2" w14:textId="47C757CF" w:rsidR="00065675" w:rsidRPr="00065675" w:rsidRDefault="00065675" w:rsidP="000B1813">
            <w:pPr>
              <w:spacing w:after="0" w:line="240" w:lineRule="auto"/>
              <w:rPr>
                <w:sz w:val="20"/>
                <w:szCs w:val="20"/>
              </w:rPr>
            </w:pPr>
          </w:p>
        </w:tc>
      </w:tr>
      <w:tr w:rsidR="00DE7564" w:rsidRPr="00C12902" w14:paraId="29292151" w14:textId="77777777" w:rsidTr="007E2B0B">
        <w:trPr>
          <w:cantSplit/>
          <w:trHeight w:val="475"/>
          <w:jc w:val="center"/>
        </w:trPr>
        <w:tc>
          <w:tcPr>
            <w:tcW w:w="965" w:type="dxa"/>
            <w:tcBorders>
              <w:top w:val="single" w:sz="4" w:space="0" w:color="auto"/>
              <w:left w:val="single" w:sz="4" w:space="0" w:color="auto"/>
              <w:bottom w:val="single" w:sz="4" w:space="0" w:color="auto"/>
              <w:right w:val="single" w:sz="4" w:space="0" w:color="auto"/>
            </w:tcBorders>
            <w:vAlign w:val="center"/>
          </w:tcPr>
          <w:p w14:paraId="5A65C605" w14:textId="77777777" w:rsidR="00DE7564" w:rsidRDefault="00DE7564" w:rsidP="000B1813">
            <w:pPr>
              <w:spacing w:after="0" w:line="240" w:lineRule="auto"/>
              <w:rPr>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14:paraId="0D6A90E0" w14:textId="77777777" w:rsidR="00DE7564" w:rsidRDefault="00DE7564" w:rsidP="000B1813">
            <w:pPr>
              <w:spacing w:after="0" w:line="240" w:lineRule="auto"/>
              <w:rPr>
                <w:sz w:val="20"/>
                <w:szCs w:val="20"/>
              </w:rPr>
            </w:pPr>
          </w:p>
        </w:tc>
        <w:tc>
          <w:tcPr>
            <w:tcW w:w="4704" w:type="dxa"/>
            <w:tcBorders>
              <w:top w:val="single" w:sz="4" w:space="0" w:color="auto"/>
              <w:left w:val="single" w:sz="4" w:space="0" w:color="auto"/>
              <w:bottom w:val="single" w:sz="4" w:space="0" w:color="auto"/>
              <w:right w:val="single" w:sz="4" w:space="0" w:color="auto"/>
            </w:tcBorders>
            <w:vAlign w:val="center"/>
          </w:tcPr>
          <w:p w14:paraId="4C4499CC" w14:textId="77777777" w:rsidR="00DE7564" w:rsidRDefault="00DE7564" w:rsidP="000B1813">
            <w:pPr>
              <w:spacing w:after="0" w:line="240" w:lineRule="auto"/>
              <w:rPr>
                <w:sz w:val="20"/>
                <w:szCs w:val="20"/>
              </w:rPr>
            </w:pPr>
          </w:p>
        </w:tc>
        <w:tc>
          <w:tcPr>
            <w:tcW w:w="1514" w:type="dxa"/>
            <w:tcBorders>
              <w:top w:val="single" w:sz="4" w:space="0" w:color="auto"/>
              <w:left w:val="single" w:sz="4" w:space="0" w:color="auto"/>
              <w:bottom w:val="single" w:sz="4" w:space="0" w:color="auto"/>
              <w:right w:val="single" w:sz="4" w:space="0" w:color="auto"/>
            </w:tcBorders>
            <w:vAlign w:val="center"/>
          </w:tcPr>
          <w:p w14:paraId="7ECCF854" w14:textId="77777777" w:rsidR="00DE7564" w:rsidRDefault="00DE7564" w:rsidP="000B1813">
            <w:pPr>
              <w:spacing w:after="0" w:line="240" w:lineRule="auto"/>
              <w:rPr>
                <w:sz w:val="20"/>
                <w:szCs w:val="20"/>
              </w:rPr>
            </w:pPr>
          </w:p>
        </w:tc>
        <w:tc>
          <w:tcPr>
            <w:tcW w:w="1427" w:type="dxa"/>
            <w:tcBorders>
              <w:top w:val="single" w:sz="4" w:space="0" w:color="auto"/>
              <w:left w:val="single" w:sz="4" w:space="0" w:color="auto"/>
              <w:bottom w:val="single" w:sz="4" w:space="0" w:color="auto"/>
              <w:right w:val="single" w:sz="4" w:space="0" w:color="auto"/>
            </w:tcBorders>
            <w:vAlign w:val="center"/>
          </w:tcPr>
          <w:p w14:paraId="185FAAD3" w14:textId="77777777" w:rsidR="00DE7564" w:rsidRDefault="00DE7564" w:rsidP="000B1813">
            <w:pPr>
              <w:spacing w:after="0" w:line="240" w:lineRule="auto"/>
              <w:rPr>
                <w:sz w:val="20"/>
                <w:szCs w:val="20"/>
              </w:rPr>
            </w:pPr>
          </w:p>
        </w:tc>
      </w:tr>
    </w:tbl>
    <w:p w14:paraId="67BEBCE3" w14:textId="70924EE2" w:rsidR="00152905" w:rsidRPr="00152905" w:rsidRDefault="00152905" w:rsidP="457796B9">
      <w:pPr>
        <w:rPr>
          <w:sz w:val="28"/>
          <w:szCs w:val="28"/>
        </w:rPr>
      </w:pPr>
    </w:p>
    <w:sectPr w:rsidR="00152905" w:rsidRPr="00152905" w:rsidSect="00EF325A">
      <w:headerReference w:type="default" r:id="rId11"/>
      <w:footerReference w:type="default" r:id="rId12"/>
      <w:headerReference w:type="first" r:id="rId13"/>
      <w:footerReference w:type="first" r:id="rId14"/>
      <w:pgSz w:w="12240" w:h="15840"/>
      <w:pgMar w:top="39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8117" w14:textId="77777777" w:rsidR="007D3603" w:rsidRDefault="007D3603" w:rsidP="000E38F4">
      <w:pPr>
        <w:spacing w:after="0" w:line="240" w:lineRule="auto"/>
      </w:pPr>
      <w:r>
        <w:separator/>
      </w:r>
    </w:p>
  </w:endnote>
  <w:endnote w:type="continuationSeparator" w:id="0">
    <w:p w14:paraId="094C3F4C" w14:textId="77777777" w:rsidR="007D3603" w:rsidRDefault="007D3603" w:rsidP="000E38F4">
      <w:pPr>
        <w:spacing w:after="0" w:line="240" w:lineRule="auto"/>
      </w:pPr>
      <w:r>
        <w:continuationSeparator/>
      </w:r>
    </w:p>
  </w:endnote>
  <w:endnote w:type="continuationNotice" w:id="1">
    <w:p w14:paraId="2191CD86" w14:textId="77777777" w:rsidR="007D3603" w:rsidRDefault="007D3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18D7" w14:textId="7D29668B" w:rsidR="00D86075" w:rsidRDefault="00D904C1" w:rsidP="00D904C1">
    <w:pPr>
      <w:tabs>
        <w:tab w:val="center" w:pos="4550"/>
        <w:tab w:val="left" w:pos="5818"/>
      </w:tabs>
      <w:ind w:right="260"/>
      <w:rPr>
        <w:rStyle w:val="SubtleEmphasis"/>
        <w:color w:val="0072BC"/>
        <w:sz w:val="20"/>
        <w:szCs w:val="20"/>
      </w:rPr>
    </w:pPr>
    <w:r w:rsidRPr="00F037AC">
      <w:rPr>
        <w:rStyle w:val="SubtleReference"/>
        <w:rFonts w:eastAsiaTheme="majorEastAsia" w:cstheme="majorBidi"/>
        <w:noProof/>
        <w:color w:val="7A7A7A" w:themeColor="text1" w:themeTint="A6"/>
        <w:spacing w:val="20"/>
        <w:kern w:val="28"/>
        <w:sz w:val="24"/>
        <w:szCs w:val="24"/>
      </w:rPr>
      <mc:AlternateContent>
        <mc:Choice Requires="wps">
          <w:drawing>
            <wp:anchor distT="0" distB="0" distL="114300" distR="114300" simplePos="0" relativeHeight="251658240" behindDoc="0" locked="0" layoutInCell="1" allowOverlap="1" wp14:anchorId="14F2E447" wp14:editId="452C39A8">
              <wp:simplePos x="0" y="0"/>
              <wp:positionH relativeFrom="column">
                <wp:posOffset>0</wp:posOffset>
              </wp:positionH>
              <wp:positionV relativeFrom="paragraph">
                <wp:posOffset>0</wp:posOffset>
              </wp:positionV>
              <wp:extent cx="6864824"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6864824" cy="0"/>
                      </a:xfrm>
                      <a:prstGeom prst="line">
                        <a:avLst/>
                      </a:prstGeom>
                      <a:ln>
                        <a:solidFill>
                          <a:schemeClr val="bg2">
                            <a:lumMod val="90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9E244"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4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" strokecolor="#9f9f9f [2894]" strokeweight=".5pt">
              <v:stroke joinstyle="miter"/>
            </v:line>
          </w:pict>
        </mc:Fallback>
      </mc:AlternateContent>
    </w:r>
    <w:r w:rsidR="04F56D04" w:rsidRPr="00A83312">
      <w:rPr>
        <w:rStyle w:val="SubtleEmphasis"/>
        <w:color w:val="0072BC"/>
        <w:sz w:val="20"/>
        <w:szCs w:val="20"/>
      </w:rPr>
      <w:t>The policies and procedures of</w:t>
    </w:r>
    <w:r w:rsidR="04F56D04">
      <w:rPr>
        <w:rStyle w:val="SubtleEmphasis"/>
        <w:color w:val="0072BC"/>
        <w:sz w:val="20"/>
        <w:szCs w:val="20"/>
      </w:rPr>
      <w:t xml:space="preserve"> Point C.</w:t>
    </w:r>
    <w:r w:rsidR="04F56D04" w:rsidRPr="00A83312">
      <w:rPr>
        <w:rStyle w:val="SubtleEmphasis"/>
        <w:color w:val="0072BC"/>
        <w:sz w:val="20"/>
        <w:szCs w:val="20"/>
      </w:rPr>
      <w:t xml:space="preserve"> are intended for internal use only and are private and confidential and not intended for external distribution without the prior written consent of the President/CEO of </w:t>
    </w:r>
    <w:r w:rsidR="04F56D04">
      <w:rPr>
        <w:rStyle w:val="SubtleEmphasis"/>
        <w:color w:val="0072BC"/>
        <w:sz w:val="20"/>
        <w:szCs w:val="20"/>
      </w:rPr>
      <w:t>Point C.</w:t>
    </w:r>
    <w:r w:rsidR="04F56D04" w:rsidRPr="00A83312">
      <w:rPr>
        <w:rStyle w:val="SubtleEmphasis"/>
        <w:color w:val="0072BC"/>
        <w:sz w:val="20"/>
        <w:szCs w:val="20"/>
      </w:rPr>
      <w:t xml:space="preserve"> </w:t>
    </w:r>
  </w:p>
  <w:p w14:paraId="481D97B4" w14:textId="77777777" w:rsidR="00A83312" w:rsidRDefault="00A83312" w:rsidP="00A83312">
    <w:pPr>
      <w:pStyle w:val="Footer"/>
      <w:tabs>
        <w:tab w:val="clear" w:pos="4680"/>
        <w:tab w:val="center" w:pos="5310"/>
      </w:tabs>
      <w:rPr>
        <w:sz w:val="16"/>
        <w:szCs w:val="16"/>
      </w:rPr>
    </w:pPr>
  </w:p>
  <w:p w14:paraId="60D1EBD8" w14:textId="74D4792C" w:rsidR="00A83312" w:rsidRPr="00A83312" w:rsidRDefault="1525B2ED" w:rsidP="1525B2ED">
    <w:pPr>
      <w:pStyle w:val="Footer"/>
      <w:tabs>
        <w:tab w:val="clear" w:pos="4680"/>
        <w:tab w:val="center" w:pos="5040"/>
      </w:tabs>
      <w:rPr>
        <w:rStyle w:val="SubtleEmphasis"/>
        <w:i w:val="0"/>
        <w:iCs w:val="0"/>
        <w:color w:val="auto"/>
        <w:sz w:val="16"/>
        <w:szCs w:val="16"/>
      </w:rPr>
    </w:pPr>
    <w:r w:rsidRPr="1525B2ED">
      <w:rPr>
        <w:sz w:val="16"/>
        <w:szCs w:val="16"/>
      </w:rPr>
      <w:t>POLICY_IT2.</w:t>
    </w:r>
    <w:r w:rsidR="00DC27B1">
      <w:rPr>
        <w:sz w:val="16"/>
        <w:szCs w:val="16"/>
      </w:rPr>
      <w:t>2</w:t>
    </w:r>
    <w:r w:rsidRPr="1525B2ED">
      <w:rPr>
        <w:sz w:val="16"/>
        <w:szCs w:val="16"/>
      </w:rPr>
      <w:t>_ACCEPTABLE_USE_POLICY</w:t>
    </w:r>
    <w:r w:rsidR="515299DF">
      <w:tab/>
    </w:r>
    <w:sdt>
      <w:sdtPr>
        <w:rPr>
          <w:sz w:val="16"/>
          <w:szCs w:val="16"/>
        </w:rPr>
        <w:id w:val="1768416134"/>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Pr="1525B2ED">
              <w:rPr>
                <w:sz w:val="16"/>
                <w:szCs w:val="16"/>
              </w:rPr>
              <w:t xml:space="preserve"> Page </w:t>
            </w:r>
            <w:r w:rsidR="515299DF" w:rsidRPr="1525B2ED">
              <w:rPr>
                <w:sz w:val="16"/>
                <w:szCs w:val="16"/>
              </w:rPr>
              <w:fldChar w:fldCharType="begin"/>
            </w:r>
            <w:r w:rsidR="515299DF" w:rsidRPr="1525B2ED">
              <w:rPr>
                <w:sz w:val="16"/>
                <w:szCs w:val="16"/>
              </w:rPr>
              <w:instrText xml:space="preserve"> PAGE </w:instrText>
            </w:r>
            <w:r w:rsidR="515299DF" w:rsidRPr="1525B2ED">
              <w:rPr>
                <w:sz w:val="16"/>
                <w:szCs w:val="16"/>
              </w:rPr>
              <w:fldChar w:fldCharType="separate"/>
            </w:r>
            <w:r w:rsidRPr="1525B2ED">
              <w:rPr>
                <w:sz w:val="16"/>
                <w:szCs w:val="16"/>
              </w:rPr>
              <w:t>1</w:t>
            </w:r>
            <w:r w:rsidR="515299DF" w:rsidRPr="1525B2ED">
              <w:rPr>
                <w:sz w:val="16"/>
                <w:szCs w:val="16"/>
              </w:rPr>
              <w:fldChar w:fldCharType="end"/>
            </w:r>
            <w:r w:rsidRPr="1525B2ED">
              <w:rPr>
                <w:sz w:val="16"/>
                <w:szCs w:val="16"/>
              </w:rPr>
              <w:t xml:space="preserve"> of </w:t>
            </w:r>
            <w:r w:rsidR="515299DF" w:rsidRPr="1525B2ED">
              <w:rPr>
                <w:sz w:val="16"/>
                <w:szCs w:val="16"/>
              </w:rPr>
              <w:fldChar w:fldCharType="begin"/>
            </w:r>
            <w:r w:rsidR="515299DF" w:rsidRPr="1525B2ED">
              <w:rPr>
                <w:sz w:val="16"/>
                <w:szCs w:val="16"/>
              </w:rPr>
              <w:instrText xml:space="preserve"> NUMPAGES  </w:instrText>
            </w:r>
            <w:r w:rsidR="515299DF" w:rsidRPr="1525B2ED">
              <w:rPr>
                <w:sz w:val="16"/>
                <w:szCs w:val="16"/>
              </w:rPr>
              <w:fldChar w:fldCharType="separate"/>
            </w:r>
            <w:r w:rsidRPr="1525B2ED">
              <w:rPr>
                <w:sz w:val="16"/>
                <w:szCs w:val="16"/>
              </w:rPr>
              <w:t>1</w:t>
            </w:r>
            <w:r w:rsidR="515299DF" w:rsidRPr="1525B2ED">
              <w:rPr>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86075" w14:paraId="62003610" w14:textId="77777777" w:rsidTr="64AE75C3">
      <w:tc>
        <w:tcPr>
          <w:tcW w:w="3120" w:type="dxa"/>
        </w:tcPr>
        <w:p w14:paraId="658C09AA" w14:textId="5F823FC7" w:rsidR="00D86075" w:rsidRDefault="00D86075" w:rsidP="64AE75C3">
          <w:pPr>
            <w:pStyle w:val="Header"/>
            <w:ind w:left="-115"/>
          </w:pPr>
        </w:p>
      </w:tc>
      <w:tc>
        <w:tcPr>
          <w:tcW w:w="3120" w:type="dxa"/>
        </w:tcPr>
        <w:p w14:paraId="74C01437" w14:textId="5B693409" w:rsidR="00D86075" w:rsidRDefault="00D86075" w:rsidP="64AE75C3">
          <w:pPr>
            <w:pStyle w:val="Header"/>
            <w:jc w:val="center"/>
          </w:pPr>
        </w:p>
      </w:tc>
      <w:tc>
        <w:tcPr>
          <w:tcW w:w="3120" w:type="dxa"/>
        </w:tcPr>
        <w:p w14:paraId="10BF864F" w14:textId="097E7B08" w:rsidR="00D86075" w:rsidRDefault="00D86075" w:rsidP="64AE75C3">
          <w:pPr>
            <w:pStyle w:val="Header"/>
            <w:ind w:right="-115"/>
            <w:jc w:val="right"/>
          </w:pPr>
        </w:p>
      </w:tc>
    </w:tr>
  </w:tbl>
  <w:p w14:paraId="79250D6C" w14:textId="1865F74F" w:rsidR="00D86075" w:rsidRDefault="00D86075" w:rsidP="64AE7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4E6F" w14:textId="77777777" w:rsidR="007D3603" w:rsidRDefault="007D3603" w:rsidP="000E38F4">
      <w:pPr>
        <w:spacing w:after="0" w:line="240" w:lineRule="auto"/>
      </w:pPr>
      <w:r>
        <w:separator/>
      </w:r>
    </w:p>
  </w:footnote>
  <w:footnote w:type="continuationSeparator" w:id="0">
    <w:p w14:paraId="6E993C82" w14:textId="77777777" w:rsidR="007D3603" w:rsidRDefault="007D3603" w:rsidP="000E38F4">
      <w:pPr>
        <w:spacing w:after="0" w:line="240" w:lineRule="auto"/>
      </w:pPr>
      <w:r>
        <w:continuationSeparator/>
      </w:r>
    </w:p>
  </w:footnote>
  <w:footnote w:type="continuationNotice" w:id="1">
    <w:p w14:paraId="025DE902" w14:textId="77777777" w:rsidR="007D3603" w:rsidRDefault="007D3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FA6A" w14:textId="4F022FE2" w:rsidR="00D86075" w:rsidRPr="00E57921" w:rsidRDefault="00E8EDEE" w:rsidP="00E8EDEE">
    <w:pPr>
      <w:pStyle w:val="Header"/>
      <w:tabs>
        <w:tab w:val="clear" w:pos="9360"/>
        <w:tab w:val="left" w:pos="3015"/>
        <w:tab w:val="right" w:pos="10800"/>
      </w:tabs>
      <w:rPr>
        <w:b/>
        <w:bCs/>
        <w:color w:val="0072BC" w:themeColor="accent6"/>
        <w:sz w:val="32"/>
        <w:szCs w:val="32"/>
      </w:rPr>
    </w:pPr>
    <w:bookmarkStart w:id="0" w:name="_Hlk37243033"/>
    <w:r w:rsidRPr="00E8EDEE">
      <w:rPr>
        <w:b/>
        <w:bCs/>
        <w:color w:val="0071BC"/>
        <w:sz w:val="32"/>
        <w:szCs w:val="32"/>
      </w:rPr>
      <w:t>POINT-C STANDARD OPERATING P</w:t>
    </w:r>
    <w:r w:rsidR="007C0B68">
      <w:rPr>
        <w:b/>
        <w:bCs/>
        <w:color w:val="0071BC"/>
        <w:sz w:val="32"/>
        <w:szCs w:val="32"/>
      </w:rPr>
      <w:t>ROCEDURE</w:t>
    </w:r>
    <w:r w:rsidR="00D86075">
      <w:tab/>
    </w:r>
    <w:r w:rsidR="007C0B68">
      <w:rPr>
        <w:noProof/>
      </w:rPr>
      <w:drawing>
        <wp:inline distT="0" distB="0" distL="0" distR="0" wp14:anchorId="21F3CA1E" wp14:editId="209DB2A6">
          <wp:extent cx="1819275" cy="504825"/>
          <wp:effectExtent l="0" t="0" r="0" b="0"/>
          <wp:docPr id="511155665" name="Picture 51115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19275" cy="504825"/>
                  </a:xfrm>
                  <a:prstGeom prst="rect">
                    <a:avLst/>
                  </a:prstGeom>
                </pic:spPr>
              </pic:pic>
            </a:graphicData>
          </a:graphic>
        </wp:inline>
      </w:drawing>
    </w:r>
    <w:r w:rsidRPr="00E8EDEE">
      <w:rPr>
        <w:b/>
        <w:bCs/>
        <w:color w:val="0071BC"/>
        <w:sz w:val="32"/>
        <w:szCs w:val="32"/>
      </w:rPr>
      <w:t xml:space="preserve">                                 </w:t>
    </w:r>
    <w:r w:rsidR="00D86075">
      <w:br/>
    </w:r>
    <w:r w:rsidRPr="00E8EDEE">
      <w:rPr>
        <w:b/>
        <w:bCs/>
        <w:color w:val="0071BC"/>
        <w:sz w:val="32"/>
        <w:szCs w:val="32"/>
      </w:rPr>
      <w:t xml:space="preserve">                                     </w:t>
    </w:r>
  </w:p>
  <w:tbl>
    <w:tblPr>
      <w:tblStyle w:val="TableGrid"/>
      <w:tblW w:w="0" w:type="auto"/>
      <w:tblLook w:val="04A0" w:firstRow="1" w:lastRow="0" w:firstColumn="1" w:lastColumn="0" w:noHBand="0" w:noVBand="1"/>
    </w:tblPr>
    <w:tblGrid>
      <w:gridCol w:w="2152"/>
      <w:gridCol w:w="5387"/>
      <w:gridCol w:w="1798"/>
      <w:gridCol w:w="1433"/>
    </w:tblGrid>
    <w:tr w:rsidR="00D86075" w14:paraId="3B512124" w14:textId="77777777" w:rsidTr="00F258C9">
      <w:trPr>
        <w:trHeight w:val="300"/>
      </w:trPr>
      <w:tc>
        <w:tcPr>
          <w:tcW w:w="2152" w:type="dxa"/>
          <w:tcBorders>
            <w:top w:val="single" w:sz="12" w:space="0" w:color="auto"/>
            <w:left w:val="single" w:sz="12" w:space="0" w:color="auto"/>
          </w:tcBorders>
        </w:tcPr>
        <w:p w14:paraId="63188D62" w14:textId="1E586B5C" w:rsidR="00D86075" w:rsidRPr="00E57921" w:rsidRDefault="00D86075" w:rsidP="00EF325A">
          <w:pPr>
            <w:rPr>
              <w:b/>
              <w:bCs/>
              <w:caps/>
              <w:sz w:val="18"/>
              <w:szCs w:val="18"/>
            </w:rPr>
          </w:pPr>
          <w:r w:rsidRPr="00E57921">
            <w:rPr>
              <w:b/>
              <w:bCs/>
              <w:caps/>
              <w:sz w:val="18"/>
              <w:szCs w:val="18"/>
            </w:rPr>
            <w:t>Title:</w:t>
          </w:r>
        </w:p>
      </w:tc>
      <w:tc>
        <w:tcPr>
          <w:tcW w:w="5387" w:type="dxa"/>
          <w:tcBorders>
            <w:top w:val="single" w:sz="12" w:space="0" w:color="auto"/>
          </w:tcBorders>
        </w:tcPr>
        <w:p w14:paraId="3FF4D326" w14:textId="63CB867C" w:rsidR="00D86075" w:rsidRPr="008B477B" w:rsidRDefault="00FF7C10" w:rsidP="457796B9">
          <w:r>
            <w:t>Appeal</w:t>
          </w:r>
          <w:r w:rsidR="001249A8">
            <w:t xml:space="preserve"> Timeframes SOP</w:t>
          </w:r>
        </w:p>
      </w:tc>
      <w:tc>
        <w:tcPr>
          <w:tcW w:w="1798" w:type="dxa"/>
          <w:tcBorders>
            <w:top w:val="single" w:sz="12" w:space="0" w:color="auto"/>
          </w:tcBorders>
        </w:tcPr>
        <w:p w14:paraId="2E553DE2" w14:textId="755CAD0A" w:rsidR="00D86075" w:rsidRPr="00E57921" w:rsidRDefault="00D86075" w:rsidP="00EF325A">
          <w:pPr>
            <w:rPr>
              <w:b/>
              <w:bCs/>
              <w:caps/>
              <w:sz w:val="18"/>
              <w:szCs w:val="18"/>
            </w:rPr>
          </w:pPr>
          <w:r w:rsidRPr="00E57921">
            <w:rPr>
              <w:b/>
              <w:bCs/>
              <w:caps/>
              <w:sz w:val="18"/>
              <w:szCs w:val="18"/>
            </w:rPr>
            <w:t>I</w:t>
          </w:r>
          <w:r w:rsidR="00AA21DF">
            <w:rPr>
              <w:b/>
              <w:bCs/>
              <w:caps/>
              <w:sz w:val="18"/>
              <w:szCs w:val="18"/>
            </w:rPr>
            <w:t>nception</w:t>
          </w:r>
          <w:r w:rsidRPr="00E57921">
            <w:rPr>
              <w:b/>
              <w:bCs/>
              <w:caps/>
              <w:sz w:val="18"/>
              <w:szCs w:val="18"/>
            </w:rPr>
            <w:t xml:space="preserve"> Date:</w:t>
          </w:r>
        </w:p>
      </w:tc>
      <w:tc>
        <w:tcPr>
          <w:tcW w:w="1433" w:type="dxa"/>
          <w:tcBorders>
            <w:top w:val="single" w:sz="12" w:space="0" w:color="auto"/>
            <w:right w:val="single" w:sz="12" w:space="0" w:color="auto"/>
          </w:tcBorders>
        </w:tcPr>
        <w:p w14:paraId="3AE6978F" w14:textId="62CD868D" w:rsidR="00D86075" w:rsidRPr="008B477B" w:rsidRDefault="00FF7C10" w:rsidP="00EF325A">
          <w:pPr>
            <w:rPr>
              <w:b/>
              <w:bCs/>
              <w:caps/>
              <w:color w:val="0072BC"/>
              <w:sz w:val="18"/>
              <w:szCs w:val="18"/>
            </w:rPr>
          </w:pPr>
          <w:r>
            <w:rPr>
              <w:b/>
              <w:bCs/>
              <w:caps/>
              <w:color w:val="0072BC"/>
              <w:sz w:val="18"/>
              <w:szCs w:val="18"/>
            </w:rPr>
            <w:t>2</w:t>
          </w:r>
          <w:r w:rsidR="00962756">
            <w:rPr>
              <w:b/>
              <w:bCs/>
              <w:caps/>
              <w:color w:val="0072BC"/>
              <w:sz w:val="18"/>
              <w:szCs w:val="18"/>
            </w:rPr>
            <w:t>/1</w:t>
          </w:r>
          <w:r>
            <w:rPr>
              <w:b/>
              <w:bCs/>
              <w:caps/>
              <w:color w:val="0072BC"/>
              <w:sz w:val="18"/>
              <w:szCs w:val="18"/>
            </w:rPr>
            <w:t>1</w:t>
          </w:r>
          <w:r w:rsidR="00962756">
            <w:rPr>
              <w:b/>
              <w:bCs/>
              <w:caps/>
              <w:color w:val="0072BC"/>
              <w:sz w:val="18"/>
              <w:szCs w:val="18"/>
            </w:rPr>
            <w:t>/2026</w:t>
          </w:r>
        </w:p>
      </w:tc>
    </w:tr>
    <w:tr w:rsidR="00D86075" w14:paraId="1387C213" w14:textId="77777777" w:rsidTr="00F258C9">
      <w:trPr>
        <w:trHeight w:val="300"/>
      </w:trPr>
      <w:tc>
        <w:tcPr>
          <w:tcW w:w="2152" w:type="dxa"/>
          <w:tcBorders>
            <w:left w:val="single" w:sz="12" w:space="0" w:color="auto"/>
          </w:tcBorders>
        </w:tcPr>
        <w:p w14:paraId="327133E7" w14:textId="5EA0CB3A" w:rsidR="00D86075" w:rsidRPr="00E57921" w:rsidRDefault="00D86075" w:rsidP="00EF325A">
          <w:pPr>
            <w:rPr>
              <w:b/>
              <w:bCs/>
              <w:caps/>
              <w:sz w:val="18"/>
              <w:szCs w:val="18"/>
            </w:rPr>
          </w:pPr>
          <w:r w:rsidRPr="00E57921">
            <w:rPr>
              <w:b/>
              <w:bCs/>
              <w:caps/>
              <w:sz w:val="18"/>
              <w:szCs w:val="18"/>
            </w:rPr>
            <w:t>Authority:</w:t>
          </w:r>
        </w:p>
      </w:tc>
      <w:tc>
        <w:tcPr>
          <w:tcW w:w="5387" w:type="dxa"/>
        </w:tcPr>
        <w:p w14:paraId="3BE0E5E2" w14:textId="6F1F59DC" w:rsidR="00D86075" w:rsidRPr="008B477B" w:rsidRDefault="00962756" w:rsidP="457796B9">
          <w:r>
            <w:t>Compliance/Clinical Operations</w:t>
          </w:r>
        </w:p>
      </w:tc>
      <w:tc>
        <w:tcPr>
          <w:tcW w:w="1798" w:type="dxa"/>
        </w:tcPr>
        <w:p w14:paraId="3DDFD516" w14:textId="1FD5DA5E" w:rsidR="00D86075" w:rsidRPr="00E57921" w:rsidRDefault="00D86075" w:rsidP="00EF325A">
          <w:pPr>
            <w:rPr>
              <w:b/>
              <w:bCs/>
              <w:caps/>
              <w:sz w:val="18"/>
              <w:szCs w:val="18"/>
            </w:rPr>
          </w:pPr>
          <w:r w:rsidRPr="00E57921">
            <w:rPr>
              <w:b/>
              <w:bCs/>
              <w:caps/>
              <w:sz w:val="18"/>
              <w:szCs w:val="18"/>
            </w:rPr>
            <w:t>Revision Date:</w:t>
          </w:r>
        </w:p>
      </w:tc>
      <w:tc>
        <w:tcPr>
          <w:tcW w:w="1433" w:type="dxa"/>
          <w:tcBorders>
            <w:right w:val="single" w:sz="12" w:space="0" w:color="auto"/>
          </w:tcBorders>
        </w:tcPr>
        <w:p w14:paraId="4EFE797E" w14:textId="6B7CD327" w:rsidR="00D86075" w:rsidRPr="008B477B" w:rsidRDefault="00D86075" w:rsidP="00EF325A">
          <w:pPr>
            <w:rPr>
              <w:b/>
              <w:bCs/>
              <w:caps/>
              <w:color w:val="0072BC"/>
              <w:sz w:val="18"/>
              <w:szCs w:val="18"/>
            </w:rPr>
          </w:pPr>
        </w:p>
      </w:tc>
    </w:tr>
    <w:tr w:rsidR="00D86075" w14:paraId="6476A78D" w14:textId="77777777" w:rsidTr="00F258C9">
      <w:trPr>
        <w:trHeight w:val="300"/>
      </w:trPr>
      <w:tc>
        <w:tcPr>
          <w:tcW w:w="2152" w:type="dxa"/>
          <w:tcBorders>
            <w:left w:val="single" w:sz="12" w:space="0" w:color="auto"/>
          </w:tcBorders>
        </w:tcPr>
        <w:p w14:paraId="5A2D0A93" w14:textId="69C7DD81" w:rsidR="00D86075" w:rsidRPr="00E57921" w:rsidRDefault="00AA21DF" w:rsidP="00EF325A">
          <w:pPr>
            <w:rPr>
              <w:b/>
              <w:bCs/>
              <w:caps/>
              <w:sz w:val="18"/>
              <w:szCs w:val="18"/>
            </w:rPr>
          </w:pPr>
          <w:r>
            <w:rPr>
              <w:b/>
              <w:bCs/>
              <w:caps/>
              <w:sz w:val="18"/>
              <w:szCs w:val="18"/>
            </w:rPr>
            <w:t>policy number:</w:t>
          </w:r>
        </w:p>
      </w:tc>
      <w:tc>
        <w:tcPr>
          <w:tcW w:w="5387" w:type="dxa"/>
        </w:tcPr>
        <w:p w14:paraId="0CFB81AC" w14:textId="5A2C5E79" w:rsidR="00D86075" w:rsidRPr="008B477B" w:rsidRDefault="00FF7C10" w:rsidP="00EF325A">
          <w:pPr>
            <w:rPr>
              <w:b/>
              <w:bCs/>
              <w:caps/>
              <w:color w:val="0072BC"/>
              <w:sz w:val="18"/>
              <w:szCs w:val="18"/>
            </w:rPr>
          </w:pPr>
          <w:r>
            <w:rPr>
              <w:b/>
              <w:bCs/>
              <w:caps/>
              <w:color w:val="0072BC"/>
              <w:sz w:val="18"/>
              <w:szCs w:val="18"/>
            </w:rPr>
            <w:t>OP</w:t>
          </w:r>
          <w:r w:rsidR="001249A8">
            <w:rPr>
              <w:b/>
              <w:bCs/>
              <w:caps/>
              <w:color w:val="0072BC"/>
              <w:sz w:val="18"/>
              <w:szCs w:val="18"/>
            </w:rPr>
            <w:t xml:space="preserve"> </w:t>
          </w:r>
          <w:r>
            <w:rPr>
              <w:b/>
              <w:bCs/>
              <w:caps/>
              <w:color w:val="0072BC"/>
              <w:sz w:val="18"/>
              <w:szCs w:val="18"/>
            </w:rPr>
            <w:t>2</w:t>
          </w:r>
          <w:r w:rsidR="001249A8">
            <w:rPr>
              <w:b/>
              <w:bCs/>
              <w:caps/>
              <w:color w:val="0072BC"/>
              <w:sz w:val="18"/>
              <w:szCs w:val="18"/>
            </w:rPr>
            <w:t>.0</w:t>
          </w:r>
        </w:p>
      </w:tc>
      <w:tc>
        <w:tcPr>
          <w:tcW w:w="1798" w:type="dxa"/>
        </w:tcPr>
        <w:p w14:paraId="27AA55EA" w14:textId="4239ED23" w:rsidR="00D86075" w:rsidRPr="00E57921" w:rsidRDefault="00D86075" w:rsidP="00EF325A">
          <w:pPr>
            <w:rPr>
              <w:b/>
              <w:bCs/>
              <w:caps/>
              <w:sz w:val="18"/>
              <w:szCs w:val="18"/>
            </w:rPr>
          </w:pPr>
          <w:r w:rsidRPr="00E57921">
            <w:rPr>
              <w:b/>
              <w:bCs/>
              <w:caps/>
              <w:sz w:val="18"/>
              <w:szCs w:val="18"/>
            </w:rPr>
            <w:t>Retirement Date:</w:t>
          </w:r>
        </w:p>
      </w:tc>
      <w:tc>
        <w:tcPr>
          <w:tcW w:w="1433" w:type="dxa"/>
          <w:tcBorders>
            <w:right w:val="single" w:sz="12" w:space="0" w:color="auto"/>
          </w:tcBorders>
        </w:tcPr>
        <w:p w14:paraId="4CAEAED9" w14:textId="77777777" w:rsidR="00D86075" w:rsidRPr="008B477B" w:rsidRDefault="00D86075" w:rsidP="00EF325A">
          <w:pPr>
            <w:rPr>
              <w:b/>
              <w:bCs/>
              <w:caps/>
              <w:color w:val="0072BC"/>
              <w:sz w:val="18"/>
              <w:szCs w:val="18"/>
            </w:rPr>
          </w:pPr>
        </w:p>
      </w:tc>
    </w:tr>
    <w:tr w:rsidR="00F258C9" w14:paraId="488089E0" w14:textId="77777777" w:rsidTr="00F258C9">
      <w:trPr>
        <w:trHeight w:val="300"/>
      </w:trPr>
      <w:tc>
        <w:tcPr>
          <w:tcW w:w="2152" w:type="dxa"/>
          <w:tcBorders>
            <w:left w:val="single" w:sz="12" w:space="0" w:color="auto"/>
            <w:bottom w:val="single" w:sz="12" w:space="0" w:color="auto"/>
          </w:tcBorders>
        </w:tcPr>
        <w:p w14:paraId="6D301B5A" w14:textId="2BDAF832" w:rsidR="00F258C9" w:rsidRDefault="00F258C9" w:rsidP="00EF325A">
          <w:pPr>
            <w:rPr>
              <w:b/>
              <w:bCs/>
              <w:caps/>
              <w:sz w:val="18"/>
              <w:szCs w:val="18"/>
            </w:rPr>
          </w:pPr>
          <w:r>
            <w:rPr>
              <w:b/>
              <w:bCs/>
              <w:caps/>
              <w:sz w:val="18"/>
              <w:szCs w:val="18"/>
            </w:rPr>
            <w:t>URAC Substandards</w:t>
          </w:r>
        </w:p>
      </w:tc>
      <w:tc>
        <w:tcPr>
          <w:tcW w:w="5387" w:type="dxa"/>
          <w:tcBorders>
            <w:bottom w:val="single" w:sz="12" w:space="0" w:color="auto"/>
          </w:tcBorders>
        </w:tcPr>
        <w:p w14:paraId="69963B30" w14:textId="5AA78008" w:rsidR="00F258C9" w:rsidRPr="00A518C9" w:rsidRDefault="00F258C9" w:rsidP="00EF325A">
          <w:pPr>
            <w:rPr>
              <w:b/>
              <w:bCs/>
              <w:caps/>
              <w:color w:val="0070C0"/>
              <w:sz w:val="18"/>
              <w:szCs w:val="18"/>
            </w:rPr>
          </w:pPr>
        </w:p>
      </w:tc>
      <w:tc>
        <w:tcPr>
          <w:tcW w:w="1798" w:type="dxa"/>
          <w:tcBorders>
            <w:bottom w:val="single" w:sz="12" w:space="0" w:color="auto"/>
          </w:tcBorders>
        </w:tcPr>
        <w:p w14:paraId="43698511" w14:textId="77777777" w:rsidR="00F258C9" w:rsidRPr="00E57921" w:rsidRDefault="00F258C9" w:rsidP="00EF325A">
          <w:pPr>
            <w:rPr>
              <w:b/>
              <w:bCs/>
              <w:caps/>
              <w:sz w:val="18"/>
              <w:szCs w:val="18"/>
            </w:rPr>
          </w:pPr>
        </w:p>
      </w:tc>
      <w:tc>
        <w:tcPr>
          <w:tcW w:w="1433" w:type="dxa"/>
          <w:tcBorders>
            <w:bottom w:val="single" w:sz="12" w:space="0" w:color="auto"/>
            <w:right w:val="single" w:sz="12" w:space="0" w:color="auto"/>
          </w:tcBorders>
        </w:tcPr>
        <w:p w14:paraId="4222B4D8" w14:textId="77777777" w:rsidR="00F258C9" w:rsidRPr="008B477B" w:rsidRDefault="00F258C9" w:rsidP="00EF325A">
          <w:pPr>
            <w:rPr>
              <w:b/>
              <w:bCs/>
              <w:caps/>
              <w:color w:val="0072BC"/>
              <w:sz w:val="18"/>
              <w:szCs w:val="18"/>
            </w:rPr>
          </w:pPr>
        </w:p>
      </w:tc>
    </w:tr>
    <w:bookmarkEnd w:id="0"/>
  </w:tbl>
  <w:p w14:paraId="3C437829" w14:textId="5A8BE3FF" w:rsidR="00D86075" w:rsidRPr="00EF325A" w:rsidRDefault="00D86075" w:rsidP="00EF325A">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9A23" w14:textId="77777777" w:rsidR="00D86075" w:rsidRDefault="00D86075" w:rsidP="000E38F4">
    <w:pPr>
      <w:pStyle w:val="Header"/>
      <w:jc w:val="right"/>
      <w:rPr>
        <w:sz w:val="18"/>
        <w:szCs w:val="18"/>
      </w:rPr>
    </w:pPr>
    <w:r>
      <w:rPr>
        <w:noProof/>
        <w:sz w:val="18"/>
        <w:szCs w:val="18"/>
      </w:rPr>
      <w:drawing>
        <wp:inline distT="0" distB="0" distL="0" distR="0" wp14:anchorId="3F1971F2" wp14:editId="4E3518EB">
          <wp:extent cx="1152525" cy="6492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Admin Logo BCBS 7461+K SPECIAL.jpg"/>
                  <pic:cNvPicPr/>
                </pic:nvPicPr>
                <pic:blipFill>
                  <a:blip r:embed="rId1">
                    <a:extLst>
                      <a:ext uri="{28A0092B-C50C-407E-A947-70E740481C1C}">
                        <a14:useLocalDpi xmlns:a14="http://schemas.microsoft.com/office/drawing/2010/main" val="0"/>
                      </a:ext>
                    </a:extLst>
                  </a:blip>
                  <a:stretch>
                    <a:fillRect/>
                  </a:stretch>
                </pic:blipFill>
                <pic:spPr>
                  <a:xfrm>
                    <a:off x="0" y="0"/>
                    <a:ext cx="1209317" cy="681274"/>
                  </a:xfrm>
                  <a:prstGeom prst="rect">
                    <a:avLst/>
                  </a:prstGeom>
                </pic:spPr>
              </pic:pic>
            </a:graphicData>
          </a:graphic>
        </wp:inline>
      </w:drawing>
    </w:r>
  </w:p>
  <w:p w14:paraId="0AD92C46" w14:textId="77777777" w:rsidR="00D86075" w:rsidRPr="000E38F4" w:rsidRDefault="00D86075" w:rsidP="00F65E96">
    <w:pPr>
      <w:pStyle w:val="Header"/>
      <w:jc w:val="center"/>
      <w:rPr>
        <w:sz w:val="18"/>
        <w:szCs w:val="18"/>
      </w:rPr>
    </w:pPr>
  </w:p>
  <w:tbl>
    <w:tblPr>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5123"/>
      <w:gridCol w:w="4687"/>
    </w:tblGrid>
    <w:tr w:rsidR="00D86075" w:rsidRPr="00B34F68" w14:paraId="43D85B9E" w14:textId="77777777" w:rsidTr="00D86075">
      <w:trPr>
        <w:jc w:val="center"/>
      </w:trPr>
      <w:tc>
        <w:tcPr>
          <w:tcW w:w="5123" w:type="dxa"/>
        </w:tcPr>
        <w:p w14:paraId="48844110" w14:textId="77777777" w:rsidR="00D86075" w:rsidRPr="00B34F68" w:rsidRDefault="00D86075" w:rsidP="00F65E96">
          <w:pPr>
            <w:pStyle w:val="Header"/>
            <w:rPr>
              <w:b/>
              <w:sz w:val="18"/>
              <w:szCs w:val="18"/>
            </w:rPr>
          </w:pPr>
          <w:r w:rsidRPr="00B34F68">
            <w:rPr>
              <w:b/>
              <w:sz w:val="18"/>
              <w:szCs w:val="18"/>
            </w:rPr>
            <w:t xml:space="preserve">DEPARTMENT: </w:t>
          </w:r>
        </w:p>
      </w:tc>
      <w:tc>
        <w:tcPr>
          <w:tcW w:w="4687" w:type="dxa"/>
        </w:tcPr>
        <w:p w14:paraId="14C0CF2B" w14:textId="77777777" w:rsidR="00D86075" w:rsidRPr="00B34F68" w:rsidRDefault="00D86075" w:rsidP="00F65E96">
          <w:pPr>
            <w:pStyle w:val="Header"/>
            <w:rPr>
              <w:sz w:val="18"/>
              <w:szCs w:val="18"/>
            </w:rPr>
          </w:pPr>
          <w:r w:rsidRPr="00B34F68">
            <w:rPr>
              <w:b/>
              <w:sz w:val="18"/>
              <w:szCs w:val="18"/>
            </w:rPr>
            <w:t>POLICY DESCRIPTION:</w:t>
          </w:r>
          <w:r w:rsidRPr="00B34F68">
            <w:rPr>
              <w:sz w:val="18"/>
              <w:szCs w:val="18"/>
            </w:rPr>
            <w:t xml:space="preserve"> </w:t>
          </w:r>
        </w:p>
      </w:tc>
    </w:tr>
    <w:tr w:rsidR="00D86075" w:rsidRPr="00B34F68" w14:paraId="11D8359F" w14:textId="77777777" w:rsidTr="00D86075">
      <w:trPr>
        <w:jc w:val="center"/>
      </w:trPr>
      <w:tc>
        <w:tcPr>
          <w:tcW w:w="5123" w:type="dxa"/>
        </w:tcPr>
        <w:p w14:paraId="5E3FA2AD" w14:textId="77777777" w:rsidR="00D86075" w:rsidRPr="00B34F68" w:rsidRDefault="00D86075" w:rsidP="00F65E96">
          <w:pPr>
            <w:pStyle w:val="Header"/>
            <w:rPr>
              <w:b/>
              <w:sz w:val="18"/>
              <w:szCs w:val="18"/>
            </w:rPr>
          </w:pPr>
          <w:r w:rsidRPr="00B34F68">
            <w:rPr>
              <w:b/>
              <w:sz w:val="18"/>
              <w:szCs w:val="18"/>
            </w:rPr>
            <w:t>PAGE:</w:t>
          </w:r>
          <w:r w:rsidRPr="00B34F68">
            <w:rPr>
              <w:sz w:val="18"/>
              <w:szCs w:val="18"/>
            </w:rPr>
            <w:t xml:space="preserve"> </w:t>
          </w:r>
          <w:r w:rsidRPr="00CF7D36">
            <w:rPr>
              <w:sz w:val="18"/>
              <w:szCs w:val="18"/>
            </w:rPr>
            <w:t xml:space="preserve">1 of </w:t>
          </w:r>
        </w:p>
      </w:tc>
      <w:tc>
        <w:tcPr>
          <w:tcW w:w="4687" w:type="dxa"/>
        </w:tcPr>
        <w:p w14:paraId="4A509E5D" w14:textId="77777777" w:rsidR="00D86075" w:rsidRPr="00B34F68" w:rsidRDefault="00D86075" w:rsidP="00F65E96">
          <w:pPr>
            <w:pStyle w:val="Header"/>
            <w:rPr>
              <w:b/>
              <w:sz w:val="18"/>
              <w:szCs w:val="18"/>
            </w:rPr>
          </w:pPr>
          <w:r w:rsidRPr="00B34F68">
            <w:rPr>
              <w:b/>
              <w:sz w:val="18"/>
              <w:szCs w:val="18"/>
            </w:rPr>
            <w:t>REPLACES POLICY DATED:</w:t>
          </w:r>
        </w:p>
      </w:tc>
    </w:tr>
    <w:tr w:rsidR="00D86075" w:rsidRPr="00B34F68" w14:paraId="5D5439F2" w14:textId="77777777" w:rsidTr="00D86075">
      <w:trPr>
        <w:jc w:val="center"/>
      </w:trPr>
      <w:tc>
        <w:tcPr>
          <w:tcW w:w="5123" w:type="dxa"/>
        </w:tcPr>
        <w:p w14:paraId="2E8DD474" w14:textId="77777777" w:rsidR="00D86075" w:rsidRPr="00B34F68" w:rsidRDefault="00D86075" w:rsidP="00F65E96">
          <w:pPr>
            <w:pStyle w:val="Header"/>
            <w:rPr>
              <w:b/>
              <w:sz w:val="18"/>
              <w:szCs w:val="18"/>
            </w:rPr>
          </w:pPr>
          <w:r w:rsidRPr="00B34F68">
            <w:rPr>
              <w:b/>
              <w:sz w:val="18"/>
              <w:szCs w:val="18"/>
            </w:rPr>
            <w:t xml:space="preserve">APPROVED: </w:t>
          </w:r>
        </w:p>
      </w:tc>
      <w:tc>
        <w:tcPr>
          <w:tcW w:w="4687" w:type="dxa"/>
        </w:tcPr>
        <w:p w14:paraId="121C28C1" w14:textId="77777777" w:rsidR="00D86075" w:rsidRPr="00B34F68" w:rsidRDefault="00D86075" w:rsidP="00F65E96">
          <w:pPr>
            <w:pStyle w:val="Header"/>
            <w:rPr>
              <w:b/>
              <w:sz w:val="18"/>
              <w:szCs w:val="18"/>
            </w:rPr>
          </w:pPr>
          <w:r w:rsidRPr="00B34F68">
            <w:rPr>
              <w:b/>
              <w:sz w:val="18"/>
              <w:szCs w:val="18"/>
            </w:rPr>
            <w:t>RETIRED:</w:t>
          </w:r>
        </w:p>
      </w:tc>
    </w:tr>
    <w:tr w:rsidR="00D86075" w:rsidRPr="00B34F68" w14:paraId="453DBB3B" w14:textId="77777777" w:rsidTr="00D86075">
      <w:trPr>
        <w:jc w:val="center"/>
      </w:trPr>
      <w:tc>
        <w:tcPr>
          <w:tcW w:w="5123" w:type="dxa"/>
        </w:tcPr>
        <w:p w14:paraId="033FDDD9" w14:textId="77777777" w:rsidR="00D86075" w:rsidRPr="00B34F68" w:rsidRDefault="00D86075" w:rsidP="00F65E96">
          <w:pPr>
            <w:pStyle w:val="Header"/>
            <w:rPr>
              <w:sz w:val="18"/>
              <w:szCs w:val="18"/>
            </w:rPr>
          </w:pPr>
          <w:r w:rsidRPr="00B34F68">
            <w:rPr>
              <w:b/>
              <w:sz w:val="18"/>
              <w:szCs w:val="18"/>
            </w:rPr>
            <w:t xml:space="preserve">EFFECTIVE DATE: </w:t>
          </w:r>
        </w:p>
      </w:tc>
      <w:tc>
        <w:tcPr>
          <w:tcW w:w="4687" w:type="dxa"/>
        </w:tcPr>
        <w:p w14:paraId="442E74A5" w14:textId="77777777" w:rsidR="00D86075" w:rsidRPr="00B34F68" w:rsidRDefault="00D86075" w:rsidP="00F65E96">
          <w:pPr>
            <w:pStyle w:val="Header"/>
            <w:rPr>
              <w:b/>
              <w:sz w:val="18"/>
              <w:szCs w:val="18"/>
            </w:rPr>
          </w:pPr>
          <w:r w:rsidRPr="00B34F68">
            <w:rPr>
              <w:b/>
              <w:sz w:val="18"/>
              <w:szCs w:val="18"/>
            </w:rPr>
            <w:t>REFERENCE NUMBER:</w:t>
          </w:r>
          <w:r w:rsidRPr="00B34F68">
            <w:rPr>
              <w:sz w:val="18"/>
              <w:szCs w:val="18"/>
            </w:rPr>
            <w:t xml:space="preserve"> </w:t>
          </w:r>
        </w:p>
      </w:tc>
    </w:tr>
  </w:tbl>
  <w:p w14:paraId="6C449661" w14:textId="77777777" w:rsidR="00D86075" w:rsidRDefault="00D86075" w:rsidP="000E3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1C0A3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B0849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60647D"/>
    <w:multiLevelType w:val="multilevel"/>
    <w:tmpl w:val="4398B0F0"/>
    <w:lvl w:ilvl="0">
      <w:start w:val="1"/>
      <w:numFmt w:val="decimal"/>
      <w:lvlText w:val="%1."/>
      <w:lvlJc w:val="left"/>
      <w:pPr>
        <w:ind w:left="360" w:hanging="360"/>
      </w:pPr>
      <w:rPr>
        <w:rFonts w:asciiTheme="minorHAnsi" w:hAnsiTheme="minorHAnsi" w:cstheme="minorHAnsi" w:hint="default"/>
        <w:b w:val="0"/>
        <w:bCs w:val="0"/>
        <w:color w:val="0072BC" w:themeColor="text2"/>
        <w:sz w:val="32"/>
        <w:szCs w:val="3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194B8F"/>
    <w:multiLevelType w:val="hybridMultilevel"/>
    <w:tmpl w:val="C8BA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12CE7"/>
    <w:multiLevelType w:val="hybridMultilevel"/>
    <w:tmpl w:val="9EF23F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3644F7"/>
    <w:multiLevelType w:val="hybridMultilevel"/>
    <w:tmpl w:val="F162BE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CB1274"/>
    <w:multiLevelType w:val="hybridMultilevel"/>
    <w:tmpl w:val="421C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D7295"/>
    <w:multiLevelType w:val="hybridMultilevel"/>
    <w:tmpl w:val="06E85C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8A6693"/>
    <w:multiLevelType w:val="hybridMultilevel"/>
    <w:tmpl w:val="D00619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0F069A"/>
    <w:multiLevelType w:val="hybridMultilevel"/>
    <w:tmpl w:val="2D0C7626"/>
    <w:lvl w:ilvl="0" w:tplc="EE0CD544">
      <w:start w:val="1"/>
      <w:numFmt w:val="bullet"/>
      <w:pStyle w:val="Sub-bullets"/>
      <w:lvlText w:val=""/>
      <w:lvlJc w:val="left"/>
      <w:pPr>
        <w:ind w:left="720" w:hanging="360"/>
      </w:pPr>
      <w:rPr>
        <w:rFonts w:ascii="Symbol" w:hAnsi="Symbol" w:hint="default"/>
      </w:rPr>
    </w:lvl>
    <w:lvl w:ilvl="1" w:tplc="39D072BA">
      <w:start w:val="1"/>
      <w:numFmt w:val="bullet"/>
      <w:lvlText w:val="o"/>
      <w:lvlJc w:val="left"/>
      <w:pPr>
        <w:ind w:left="1440" w:hanging="360"/>
      </w:pPr>
      <w:rPr>
        <w:rFonts w:ascii="Courier New" w:hAnsi="Courier New" w:hint="default"/>
      </w:rPr>
    </w:lvl>
    <w:lvl w:ilvl="2" w:tplc="C046DF5E">
      <w:start w:val="1"/>
      <w:numFmt w:val="bullet"/>
      <w:lvlText w:val=""/>
      <w:lvlJc w:val="left"/>
      <w:pPr>
        <w:ind w:left="2160" w:hanging="360"/>
      </w:pPr>
      <w:rPr>
        <w:rFonts w:ascii="Wingdings" w:hAnsi="Wingdings" w:hint="default"/>
      </w:rPr>
    </w:lvl>
    <w:lvl w:ilvl="3" w:tplc="BD14463A">
      <w:start w:val="1"/>
      <w:numFmt w:val="bullet"/>
      <w:lvlText w:val=""/>
      <w:lvlJc w:val="left"/>
      <w:pPr>
        <w:ind w:left="2880" w:hanging="360"/>
      </w:pPr>
      <w:rPr>
        <w:rFonts w:ascii="Symbol" w:hAnsi="Symbol" w:hint="default"/>
      </w:rPr>
    </w:lvl>
    <w:lvl w:ilvl="4" w:tplc="7A580FE6">
      <w:start w:val="1"/>
      <w:numFmt w:val="bullet"/>
      <w:lvlText w:val="o"/>
      <w:lvlJc w:val="left"/>
      <w:pPr>
        <w:ind w:left="3600" w:hanging="360"/>
      </w:pPr>
      <w:rPr>
        <w:rFonts w:ascii="Courier New" w:hAnsi="Courier New" w:hint="default"/>
      </w:rPr>
    </w:lvl>
    <w:lvl w:ilvl="5" w:tplc="5860EE90">
      <w:start w:val="1"/>
      <w:numFmt w:val="bullet"/>
      <w:lvlText w:val=""/>
      <w:lvlJc w:val="left"/>
      <w:pPr>
        <w:ind w:left="4320" w:hanging="360"/>
      </w:pPr>
      <w:rPr>
        <w:rFonts w:ascii="Wingdings" w:hAnsi="Wingdings" w:hint="default"/>
      </w:rPr>
    </w:lvl>
    <w:lvl w:ilvl="6" w:tplc="CD1AE144">
      <w:start w:val="1"/>
      <w:numFmt w:val="bullet"/>
      <w:lvlText w:val=""/>
      <w:lvlJc w:val="left"/>
      <w:pPr>
        <w:ind w:left="5040" w:hanging="360"/>
      </w:pPr>
      <w:rPr>
        <w:rFonts w:ascii="Symbol" w:hAnsi="Symbol" w:hint="default"/>
      </w:rPr>
    </w:lvl>
    <w:lvl w:ilvl="7" w:tplc="7376D5EC">
      <w:start w:val="1"/>
      <w:numFmt w:val="bullet"/>
      <w:lvlText w:val="o"/>
      <w:lvlJc w:val="left"/>
      <w:pPr>
        <w:ind w:left="5760" w:hanging="360"/>
      </w:pPr>
      <w:rPr>
        <w:rFonts w:ascii="Courier New" w:hAnsi="Courier New" w:hint="default"/>
      </w:rPr>
    </w:lvl>
    <w:lvl w:ilvl="8" w:tplc="451CAFE8">
      <w:start w:val="1"/>
      <w:numFmt w:val="bullet"/>
      <w:lvlText w:val=""/>
      <w:lvlJc w:val="left"/>
      <w:pPr>
        <w:ind w:left="6480" w:hanging="360"/>
      </w:pPr>
      <w:rPr>
        <w:rFonts w:ascii="Wingdings" w:hAnsi="Wingdings" w:hint="default"/>
      </w:rPr>
    </w:lvl>
  </w:abstractNum>
  <w:abstractNum w:abstractNumId="10" w15:restartNumberingAfterBreak="0">
    <w:nsid w:val="7DE044D8"/>
    <w:multiLevelType w:val="hybridMultilevel"/>
    <w:tmpl w:val="A9EC57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2984962">
    <w:abstractNumId w:val="9"/>
  </w:num>
  <w:num w:numId="2" w16cid:durableId="1195844204">
    <w:abstractNumId w:val="2"/>
  </w:num>
  <w:num w:numId="3" w16cid:durableId="2110856055">
    <w:abstractNumId w:val="1"/>
  </w:num>
  <w:num w:numId="4" w16cid:durableId="1656956377">
    <w:abstractNumId w:val="0"/>
    <w:lvlOverride w:ilvl="0">
      <w:startOverride w:val="1"/>
    </w:lvlOverride>
  </w:num>
  <w:num w:numId="5" w16cid:durableId="156502041">
    <w:abstractNumId w:val="7"/>
  </w:num>
  <w:num w:numId="6" w16cid:durableId="350182848">
    <w:abstractNumId w:val="4"/>
  </w:num>
  <w:num w:numId="7" w16cid:durableId="954365806">
    <w:abstractNumId w:val="10"/>
  </w:num>
  <w:num w:numId="8" w16cid:durableId="210927510">
    <w:abstractNumId w:val="8"/>
  </w:num>
  <w:num w:numId="9" w16cid:durableId="1661736479">
    <w:abstractNumId w:val="6"/>
  </w:num>
  <w:num w:numId="10" w16cid:durableId="1117867081">
    <w:abstractNumId w:val="3"/>
  </w:num>
  <w:num w:numId="11" w16cid:durableId="61213449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7D"/>
    <w:rsid w:val="00000BCF"/>
    <w:rsid w:val="00004DE6"/>
    <w:rsid w:val="0000593A"/>
    <w:rsid w:val="0001155F"/>
    <w:rsid w:val="00026FB5"/>
    <w:rsid w:val="00032D05"/>
    <w:rsid w:val="00040208"/>
    <w:rsid w:val="00050CF3"/>
    <w:rsid w:val="00053AD9"/>
    <w:rsid w:val="00054E5A"/>
    <w:rsid w:val="00060B7E"/>
    <w:rsid w:val="00062DAD"/>
    <w:rsid w:val="00065675"/>
    <w:rsid w:val="00072038"/>
    <w:rsid w:val="00076F00"/>
    <w:rsid w:val="00077A9C"/>
    <w:rsid w:val="000825B8"/>
    <w:rsid w:val="00090A7B"/>
    <w:rsid w:val="000A243E"/>
    <w:rsid w:val="000A469F"/>
    <w:rsid w:val="000B1813"/>
    <w:rsid w:val="000C45A9"/>
    <w:rsid w:val="000C5FEC"/>
    <w:rsid w:val="000C6D19"/>
    <w:rsid w:val="000E002B"/>
    <w:rsid w:val="000E38F4"/>
    <w:rsid w:val="000E6C6F"/>
    <w:rsid w:val="000F2687"/>
    <w:rsid w:val="000F29BA"/>
    <w:rsid w:val="00102A2C"/>
    <w:rsid w:val="00114EFD"/>
    <w:rsid w:val="001161A5"/>
    <w:rsid w:val="001212B9"/>
    <w:rsid w:val="0012429C"/>
    <w:rsid w:val="001249A8"/>
    <w:rsid w:val="00133557"/>
    <w:rsid w:val="001441B9"/>
    <w:rsid w:val="00144AAE"/>
    <w:rsid w:val="00147D56"/>
    <w:rsid w:val="00150059"/>
    <w:rsid w:val="00152905"/>
    <w:rsid w:val="00152C0E"/>
    <w:rsid w:val="00152D5D"/>
    <w:rsid w:val="0016119B"/>
    <w:rsid w:val="001621DC"/>
    <w:rsid w:val="00163A07"/>
    <w:rsid w:val="001643D1"/>
    <w:rsid w:val="0017066D"/>
    <w:rsid w:val="00187E08"/>
    <w:rsid w:val="00197316"/>
    <w:rsid w:val="001D3A69"/>
    <w:rsid w:val="001E0BEE"/>
    <w:rsid w:val="001E3A8D"/>
    <w:rsid w:val="002058C1"/>
    <w:rsid w:val="00211EBC"/>
    <w:rsid w:val="00217304"/>
    <w:rsid w:val="00224F73"/>
    <w:rsid w:val="00251CF0"/>
    <w:rsid w:val="00257750"/>
    <w:rsid w:val="00263452"/>
    <w:rsid w:val="002706DF"/>
    <w:rsid w:val="002752F0"/>
    <w:rsid w:val="00275814"/>
    <w:rsid w:val="0028076C"/>
    <w:rsid w:val="00280897"/>
    <w:rsid w:val="00284FE1"/>
    <w:rsid w:val="0029200B"/>
    <w:rsid w:val="002943E2"/>
    <w:rsid w:val="002B33C6"/>
    <w:rsid w:val="002B5D9D"/>
    <w:rsid w:val="002C0282"/>
    <w:rsid w:val="002C2589"/>
    <w:rsid w:val="002E00E2"/>
    <w:rsid w:val="002E3499"/>
    <w:rsid w:val="002E3535"/>
    <w:rsid w:val="002E779B"/>
    <w:rsid w:val="003058DF"/>
    <w:rsid w:val="00317CB7"/>
    <w:rsid w:val="00320372"/>
    <w:rsid w:val="00327691"/>
    <w:rsid w:val="00330FA2"/>
    <w:rsid w:val="0033686C"/>
    <w:rsid w:val="00340B16"/>
    <w:rsid w:val="0034156B"/>
    <w:rsid w:val="0034687F"/>
    <w:rsid w:val="00352F7C"/>
    <w:rsid w:val="00357212"/>
    <w:rsid w:val="0036333F"/>
    <w:rsid w:val="003659C5"/>
    <w:rsid w:val="003904BD"/>
    <w:rsid w:val="003909D1"/>
    <w:rsid w:val="003A0F21"/>
    <w:rsid w:val="003D4DF3"/>
    <w:rsid w:val="003E30C5"/>
    <w:rsid w:val="003E33A5"/>
    <w:rsid w:val="003E3984"/>
    <w:rsid w:val="003F63AD"/>
    <w:rsid w:val="00410106"/>
    <w:rsid w:val="00412DD6"/>
    <w:rsid w:val="004143FB"/>
    <w:rsid w:val="004158AC"/>
    <w:rsid w:val="004212F4"/>
    <w:rsid w:val="00425A19"/>
    <w:rsid w:val="00426049"/>
    <w:rsid w:val="00437981"/>
    <w:rsid w:val="00443639"/>
    <w:rsid w:val="00443E1F"/>
    <w:rsid w:val="00452C1F"/>
    <w:rsid w:val="00454F67"/>
    <w:rsid w:val="004668E2"/>
    <w:rsid w:val="00466A23"/>
    <w:rsid w:val="0049695B"/>
    <w:rsid w:val="004A3F8D"/>
    <w:rsid w:val="004A72B8"/>
    <w:rsid w:val="004A7CEF"/>
    <w:rsid w:val="004B0E2F"/>
    <w:rsid w:val="004C2E48"/>
    <w:rsid w:val="004D7CA5"/>
    <w:rsid w:val="004E2FD8"/>
    <w:rsid w:val="004E3200"/>
    <w:rsid w:val="004F390A"/>
    <w:rsid w:val="004F4CDA"/>
    <w:rsid w:val="005006F2"/>
    <w:rsid w:val="005007AB"/>
    <w:rsid w:val="00513183"/>
    <w:rsid w:val="00522022"/>
    <w:rsid w:val="00550B9C"/>
    <w:rsid w:val="00564C5B"/>
    <w:rsid w:val="00565523"/>
    <w:rsid w:val="0058506D"/>
    <w:rsid w:val="005A074E"/>
    <w:rsid w:val="005A77A1"/>
    <w:rsid w:val="005E1EC9"/>
    <w:rsid w:val="005E30D1"/>
    <w:rsid w:val="005E38B7"/>
    <w:rsid w:val="005E4B4C"/>
    <w:rsid w:val="005E7E2A"/>
    <w:rsid w:val="005F5F4E"/>
    <w:rsid w:val="005F6285"/>
    <w:rsid w:val="00600E73"/>
    <w:rsid w:val="0060506E"/>
    <w:rsid w:val="006210A2"/>
    <w:rsid w:val="006350D5"/>
    <w:rsid w:val="00641633"/>
    <w:rsid w:val="0067790A"/>
    <w:rsid w:val="00681E9C"/>
    <w:rsid w:val="00691656"/>
    <w:rsid w:val="006B3ABD"/>
    <w:rsid w:val="006D15D7"/>
    <w:rsid w:val="006D63A9"/>
    <w:rsid w:val="006D7266"/>
    <w:rsid w:val="006E24AE"/>
    <w:rsid w:val="006E640A"/>
    <w:rsid w:val="006E6565"/>
    <w:rsid w:val="006E739B"/>
    <w:rsid w:val="006F3E11"/>
    <w:rsid w:val="006F66E9"/>
    <w:rsid w:val="006F7026"/>
    <w:rsid w:val="0073516F"/>
    <w:rsid w:val="00743935"/>
    <w:rsid w:val="007440BF"/>
    <w:rsid w:val="00753D4F"/>
    <w:rsid w:val="00756F29"/>
    <w:rsid w:val="0078793A"/>
    <w:rsid w:val="00790BF5"/>
    <w:rsid w:val="007A768D"/>
    <w:rsid w:val="007C0B68"/>
    <w:rsid w:val="007C43F6"/>
    <w:rsid w:val="007C7A51"/>
    <w:rsid w:val="007D141E"/>
    <w:rsid w:val="007D1B69"/>
    <w:rsid w:val="007D3603"/>
    <w:rsid w:val="007D6EF8"/>
    <w:rsid w:val="007E2B0B"/>
    <w:rsid w:val="007E38F5"/>
    <w:rsid w:val="007F5CA2"/>
    <w:rsid w:val="007F60FE"/>
    <w:rsid w:val="008022C5"/>
    <w:rsid w:val="008145C7"/>
    <w:rsid w:val="008213B5"/>
    <w:rsid w:val="00844516"/>
    <w:rsid w:val="00850B6F"/>
    <w:rsid w:val="008555CA"/>
    <w:rsid w:val="00886FDB"/>
    <w:rsid w:val="00893F20"/>
    <w:rsid w:val="00894256"/>
    <w:rsid w:val="008B477B"/>
    <w:rsid w:val="008B6860"/>
    <w:rsid w:val="008C1764"/>
    <w:rsid w:val="008C1EC0"/>
    <w:rsid w:val="008C2252"/>
    <w:rsid w:val="008C5B79"/>
    <w:rsid w:val="008D1BAA"/>
    <w:rsid w:val="008D746F"/>
    <w:rsid w:val="008F7311"/>
    <w:rsid w:val="0090591F"/>
    <w:rsid w:val="00914556"/>
    <w:rsid w:val="009153C4"/>
    <w:rsid w:val="009157FC"/>
    <w:rsid w:val="0091783D"/>
    <w:rsid w:val="009246E2"/>
    <w:rsid w:val="009346BA"/>
    <w:rsid w:val="009454FC"/>
    <w:rsid w:val="0096216D"/>
    <w:rsid w:val="00962756"/>
    <w:rsid w:val="009651CC"/>
    <w:rsid w:val="00971123"/>
    <w:rsid w:val="0098541F"/>
    <w:rsid w:val="00990D36"/>
    <w:rsid w:val="009957F4"/>
    <w:rsid w:val="009A3545"/>
    <w:rsid w:val="009A42FF"/>
    <w:rsid w:val="009B5F0B"/>
    <w:rsid w:val="009B7084"/>
    <w:rsid w:val="009C47D0"/>
    <w:rsid w:val="009D0ABD"/>
    <w:rsid w:val="009D3F39"/>
    <w:rsid w:val="009F062A"/>
    <w:rsid w:val="009F1140"/>
    <w:rsid w:val="009F598F"/>
    <w:rsid w:val="00A03FD7"/>
    <w:rsid w:val="00A11E19"/>
    <w:rsid w:val="00A17DD2"/>
    <w:rsid w:val="00A316E6"/>
    <w:rsid w:val="00A356BF"/>
    <w:rsid w:val="00A518C9"/>
    <w:rsid w:val="00A653B2"/>
    <w:rsid w:val="00A71F03"/>
    <w:rsid w:val="00A723AA"/>
    <w:rsid w:val="00A74DF3"/>
    <w:rsid w:val="00A773E1"/>
    <w:rsid w:val="00A83312"/>
    <w:rsid w:val="00A85CBE"/>
    <w:rsid w:val="00A8606E"/>
    <w:rsid w:val="00A87C15"/>
    <w:rsid w:val="00A9403E"/>
    <w:rsid w:val="00AA10F9"/>
    <w:rsid w:val="00AA21DF"/>
    <w:rsid w:val="00AA61D1"/>
    <w:rsid w:val="00AE2863"/>
    <w:rsid w:val="00AF140B"/>
    <w:rsid w:val="00AF3C82"/>
    <w:rsid w:val="00AF770A"/>
    <w:rsid w:val="00B03FBA"/>
    <w:rsid w:val="00B0754B"/>
    <w:rsid w:val="00B17ED3"/>
    <w:rsid w:val="00B5317D"/>
    <w:rsid w:val="00B600D3"/>
    <w:rsid w:val="00B62AD9"/>
    <w:rsid w:val="00B659BF"/>
    <w:rsid w:val="00B713A0"/>
    <w:rsid w:val="00BA0EFC"/>
    <w:rsid w:val="00BA5824"/>
    <w:rsid w:val="00BA62B8"/>
    <w:rsid w:val="00BC5882"/>
    <w:rsid w:val="00BD24E7"/>
    <w:rsid w:val="00BD2B72"/>
    <w:rsid w:val="00BD5A7E"/>
    <w:rsid w:val="00C13418"/>
    <w:rsid w:val="00C15B64"/>
    <w:rsid w:val="00C17C12"/>
    <w:rsid w:val="00C273E9"/>
    <w:rsid w:val="00C41305"/>
    <w:rsid w:val="00C42349"/>
    <w:rsid w:val="00C453D2"/>
    <w:rsid w:val="00C46FFA"/>
    <w:rsid w:val="00C50E1A"/>
    <w:rsid w:val="00C54610"/>
    <w:rsid w:val="00C714C0"/>
    <w:rsid w:val="00C72054"/>
    <w:rsid w:val="00C736B0"/>
    <w:rsid w:val="00C9474F"/>
    <w:rsid w:val="00CA251B"/>
    <w:rsid w:val="00CB3D7D"/>
    <w:rsid w:val="00CB4080"/>
    <w:rsid w:val="00CB58B4"/>
    <w:rsid w:val="00CD6930"/>
    <w:rsid w:val="00CF363C"/>
    <w:rsid w:val="00CF4F95"/>
    <w:rsid w:val="00CF517E"/>
    <w:rsid w:val="00D039B6"/>
    <w:rsid w:val="00D0732F"/>
    <w:rsid w:val="00D158F1"/>
    <w:rsid w:val="00D170EA"/>
    <w:rsid w:val="00D2467E"/>
    <w:rsid w:val="00D45214"/>
    <w:rsid w:val="00D455C6"/>
    <w:rsid w:val="00D5057B"/>
    <w:rsid w:val="00D86075"/>
    <w:rsid w:val="00D904C1"/>
    <w:rsid w:val="00D939A0"/>
    <w:rsid w:val="00D97840"/>
    <w:rsid w:val="00DA7373"/>
    <w:rsid w:val="00DB60A4"/>
    <w:rsid w:val="00DB6F71"/>
    <w:rsid w:val="00DB7538"/>
    <w:rsid w:val="00DC27B1"/>
    <w:rsid w:val="00DC415B"/>
    <w:rsid w:val="00DD2B36"/>
    <w:rsid w:val="00DE2469"/>
    <w:rsid w:val="00DE2703"/>
    <w:rsid w:val="00DE464D"/>
    <w:rsid w:val="00DE7564"/>
    <w:rsid w:val="00DF37D8"/>
    <w:rsid w:val="00DF5FA8"/>
    <w:rsid w:val="00DF7AA0"/>
    <w:rsid w:val="00E11B75"/>
    <w:rsid w:val="00E14759"/>
    <w:rsid w:val="00E25D95"/>
    <w:rsid w:val="00E3286D"/>
    <w:rsid w:val="00E36A10"/>
    <w:rsid w:val="00E36B49"/>
    <w:rsid w:val="00E371CB"/>
    <w:rsid w:val="00E5366E"/>
    <w:rsid w:val="00E5779E"/>
    <w:rsid w:val="00E57921"/>
    <w:rsid w:val="00E63D96"/>
    <w:rsid w:val="00E86039"/>
    <w:rsid w:val="00E870C9"/>
    <w:rsid w:val="00E8EDEE"/>
    <w:rsid w:val="00EA1FD5"/>
    <w:rsid w:val="00EA2A62"/>
    <w:rsid w:val="00EA3C31"/>
    <w:rsid w:val="00EB57E2"/>
    <w:rsid w:val="00EB5BB5"/>
    <w:rsid w:val="00EC48A1"/>
    <w:rsid w:val="00EC5B70"/>
    <w:rsid w:val="00ED35AC"/>
    <w:rsid w:val="00ED5764"/>
    <w:rsid w:val="00EF0322"/>
    <w:rsid w:val="00EF325A"/>
    <w:rsid w:val="00EF77B0"/>
    <w:rsid w:val="00F01C85"/>
    <w:rsid w:val="00F037AC"/>
    <w:rsid w:val="00F1317F"/>
    <w:rsid w:val="00F15D58"/>
    <w:rsid w:val="00F16A9D"/>
    <w:rsid w:val="00F17854"/>
    <w:rsid w:val="00F258C9"/>
    <w:rsid w:val="00F3523A"/>
    <w:rsid w:val="00F419DC"/>
    <w:rsid w:val="00F57FC6"/>
    <w:rsid w:val="00F60E90"/>
    <w:rsid w:val="00F65E96"/>
    <w:rsid w:val="00F82937"/>
    <w:rsid w:val="00F914C4"/>
    <w:rsid w:val="00F91EF3"/>
    <w:rsid w:val="00F936DC"/>
    <w:rsid w:val="00F97916"/>
    <w:rsid w:val="00FC2914"/>
    <w:rsid w:val="00FC315D"/>
    <w:rsid w:val="00FC6257"/>
    <w:rsid w:val="00FD02D4"/>
    <w:rsid w:val="00FD2B17"/>
    <w:rsid w:val="00FE035A"/>
    <w:rsid w:val="00FE7863"/>
    <w:rsid w:val="00FF26CB"/>
    <w:rsid w:val="00FF2BB9"/>
    <w:rsid w:val="00FF7C10"/>
    <w:rsid w:val="017B321B"/>
    <w:rsid w:val="0241141A"/>
    <w:rsid w:val="0267F363"/>
    <w:rsid w:val="02E0914D"/>
    <w:rsid w:val="030C03EF"/>
    <w:rsid w:val="035BA35F"/>
    <w:rsid w:val="04F56D04"/>
    <w:rsid w:val="056AB7F4"/>
    <w:rsid w:val="05EDF0CA"/>
    <w:rsid w:val="0620B88E"/>
    <w:rsid w:val="075AE752"/>
    <w:rsid w:val="07703283"/>
    <w:rsid w:val="0781FE66"/>
    <w:rsid w:val="0795BAC5"/>
    <w:rsid w:val="0805DB24"/>
    <w:rsid w:val="08214443"/>
    <w:rsid w:val="0855829D"/>
    <w:rsid w:val="086899B1"/>
    <w:rsid w:val="08A8F80A"/>
    <w:rsid w:val="08E18C38"/>
    <w:rsid w:val="09B50F38"/>
    <w:rsid w:val="0B314A80"/>
    <w:rsid w:val="0C9692CF"/>
    <w:rsid w:val="0CD2F1D5"/>
    <w:rsid w:val="0D8539A1"/>
    <w:rsid w:val="0DF8C736"/>
    <w:rsid w:val="0F5FC892"/>
    <w:rsid w:val="0F62EC55"/>
    <w:rsid w:val="10230A93"/>
    <w:rsid w:val="108889E1"/>
    <w:rsid w:val="10AD9821"/>
    <w:rsid w:val="10DCB149"/>
    <w:rsid w:val="10F9AF2D"/>
    <w:rsid w:val="11159946"/>
    <w:rsid w:val="11A22DEA"/>
    <w:rsid w:val="11B4A4F6"/>
    <w:rsid w:val="11E91746"/>
    <w:rsid w:val="12444752"/>
    <w:rsid w:val="12FDD78A"/>
    <w:rsid w:val="13E21ED8"/>
    <w:rsid w:val="13F3CC66"/>
    <w:rsid w:val="1421301C"/>
    <w:rsid w:val="14354742"/>
    <w:rsid w:val="1525B2ED"/>
    <w:rsid w:val="1534FEC5"/>
    <w:rsid w:val="15BC0031"/>
    <w:rsid w:val="16A8FC29"/>
    <w:rsid w:val="17C0B9A5"/>
    <w:rsid w:val="17EDD514"/>
    <w:rsid w:val="19500B84"/>
    <w:rsid w:val="19B5AF63"/>
    <w:rsid w:val="1B37AB43"/>
    <w:rsid w:val="1B687FA9"/>
    <w:rsid w:val="1BC41A6F"/>
    <w:rsid w:val="1C18CA61"/>
    <w:rsid w:val="1C3B865B"/>
    <w:rsid w:val="1D158330"/>
    <w:rsid w:val="1D8829D1"/>
    <w:rsid w:val="1DB5C4FB"/>
    <w:rsid w:val="1EB85C70"/>
    <w:rsid w:val="1EC5C0F9"/>
    <w:rsid w:val="1EDB34CD"/>
    <w:rsid w:val="1F7513FA"/>
    <w:rsid w:val="1FCAA02D"/>
    <w:rsid w:val="1FFF6235"/>
    <w:rsid w:val="200EBD56"/>
    <w:rsid w:val="2069D5A9"/>
    <w:rsid w:val="206F5CE6"/>
    <w:rsid w:val="23581B48"/>
    <w:rsid w:val="238D3267"/>
    <w:rsid w:val="2397B49E"/>
    <w:rsid w:val="23ECCA48"/>
    <w:rsid w:val="2419B378"/>
    <w:rsid w:val="24F25CD3"/>
    <w:rsid w:val="253B1245"/>
    <w:rsid w:val="2568A064"/>
    <w:rsid w:val="2653C044"/>
    <w:rsid w:val="2678A3A4"/>
    <w:rsid w:val="26927B57"/>
    <w:rsid w:val="26CFCFE0"/>
    <w:rsid w:val="27867FEE"/>
    <w:rsid w:val="2837CB04"/>
    <w:rsid w:val="28CAFB51"/>
    <w:rsid w:val="293BCEF4"/>
    <w:rsid w:val="2A4A9534"/>
    <w:rsid w:val="2B25C2FE"/>
    <w:rsid w:val="2B7F44A9"/>
    <w:rsid w:val="2B9473A8"/>
    <w:rsid w:val="2BC5CCFA"/>
    <w:rsid w:val="2C935862"/>
    <w:rsid w:val="2CA8EFA9"/>
    <w:rsid w:val="2D092DF6"/>
    <w:rsid w:val="2D46D909"/>
    <w:rsid w:val="2DE6FFFA"/>
    <w:rsid w:val="2E1A294B"/>
    <w:rsid w:val="2E8CAA6F"/>
    <w:rsid w:val="2EB5AE3E"/>
    <w:rsid w:val="2FADD45F"/>
    <w:rsid w:val="302E52D0"/>
    <w:rsid w:val="3049A197"/>
    <w:rsid w:val="3142431E"/>
    <w:rsid w:val="3143924C"/>
    <w:rsid w:val="318586DE"/>
    <w:rsid w:val="32598018"/>
    <w:rsid w:val="33274A45"/>
    <w:rsid w:val="332F4B5D"/>
    <w:rsid w:val="33696279"/>
    <w:rsid w:val="338C8D47"/>
    <w:rsid w:val="34BB50A4"/>
    <w:rsid w:val="35547FF1"/>
    <w:rsid w:val="358B1ED0"/>
    <w:rsid w:val="36168C95"/>
    <w:rsid w:val="3625D51F"/>
    <w:rsid w:val="3734F767"/>
    <w:rsid w:val="37633901"/>
    <w:rsid w:val="376DB288"/>
    <w:rsid w:val="37713C4D"/>
    <w:rsid w:val="380CEE82"/>
    <w:rsid w:val="399A8F38"/>
    <w:rsid w:val="39C07A8D"/>
    <w:rsid w:val="3AE224A8"/>
    <w:rsid w:val="3B568701"/>
    <w:rsid w:val="3B96CC2C"/>
    <w:rsid w:val="3D69ACAA"/>
    <w:rsid w:val="3DA3F14E"/>
    <w:rsid w:val="3E1599E1"/>
    <w:rsid w:val="3E45ECCC"/>
    <w:rsid w:val="3E45F1C2"/>
    <w:rsid w:val="3EE5B69A"/>
    <w:rsid w:val="3F338568"/>
    <w:rsid w:val="3F8D5305"/>
    <w:rsid w:val="3F942CC7"/>
    <w:rsid w:val="3FEE3C6B"/>
    <w:rsid w:val="401A0BAE"/>
    <w:rsid w:val="4043DFD6"/>
    <w:rsid w:val="409FAEA8"/>
    <w:rsid w:val="40BFA0FC"/>
    <w:rsid w:val="414BAF8C"/>
    <w:rsid w:val="418ECC5E"/>
    <w:rsid w:val="42D2E153"/>
    <w:rsid w:val="43A1579A"/>
    <w:rsid w:val="43CEBBD6"/>
    <w:rsid w:val="457796B9"/>
    <w:rsid w:val="4655833E"/>
    <w:rsid w:val="465D5127"/>
    <w:rsid w:val="46CCCA32"/>
    <w:rsid w:val="46DB51C3"/>
    <w:rsid w:val="477C60D3"/>
    <w:rsid w:val="47CE624C"/>
    <w:rsid w:val="47D36533"/>
    <w:rsid w:val="47ED053B"/>
    <w:rsid w:val="48AC329A"/>
    <w:rsid w:val="49AC4DAB"/>
    <w:rsid w:val="4A366DDB"/>
    <w:rsid w:val="4AD0EDD7"/>
    <w:rsid w:val="4AE86247"/>
    <w:rsid w:val="4AFA33B2"/>
    <w:rsid w:val="4D94D3FF"/>
    <w:rsid w:val="4DDE10C3"/>
    <w:rsid w:val="4DF2C2AB"/>
    <w:rsid w:val="4E03EAF2"/>
    <w:rsid w:val="4E1EB647"/>
    <w:rsid w:val="4F509648"/>
    <w:rsid w:val="4F64D8B0"/>
    <w:rsid w:val="50F03328"/>
    <w:rsid w:val="50FC4D37"/>
    <w:rsid w:val="515299DF"/>
    <w:rsid w:val="5158684B"/>
    <w:rsid w:val="52F3AD3F"/>
    <w:rsid w:val="554A4345"/>
    <w:rsid w:val="556CD1F5"/>
    <w:rsid w:val="559B7F07"/>
    <w:rsid w:val="56019975"/>
    <w:rsid w:val="56D86677"/>
    <w:rsid w:val="57BB4B41"/>
    <w:rsid w:val="58626230"/>
    <w:rsid w:val="59CFFF3B"/>
    <w:rsid w:val="5A255BB6"/>
    <w:rsid w:val="5A304D86"/>
    <w:rsid w:val="5A4158C6"/>
    <w:rsid w:val="5C54D00F"/>
    <w:rsid w:val="5C7AB1BE"/>
    <w:rsid w:val="5CB4BFA4"/>
    <w:rsid w:val="5D0D0D8D"/>
    <w:rsid w:val="5E1C8112"/>
    <w:rsid w:val="5E1F99F8"/>
    <w:rsid w:val="5EB258C9"/>
    <w:rsid w:val="5ECB474B"/>
    <w:rsid w:val="6219C9C0"/>
    <w:rsid w:val="627E4025"/>
    <w:rsid w:val="6356E108"/>
    <w:rsid w:val="63E11F61"/>
    <w:rsid w:val="63E957D0"/>
    <w:rsid w:val="643CD943"/>
    <w:rsid w:val="64AE75C3"/>
    <w:rsid w:val="64F54FCB"/>
    <w:rsid w:val="6568BE8E"/>
    <w:rsid w:val="66DD54CE"/>
    <w:rsid w:val="67A0600E"/>
    <w:rsid w:val="68EAD2EC"/>
    <w:rsid w:val="696738AB"/>
    <w:rsid w:val="697E6B36"/>
    <w:rsid w:val="69B4E8E9"/>
    <w:rsid w:val="6A20A754"/>
    <w:rsid w:val="6A3C14FE"/>
    <w:rsid w:val="6B21F6F6"/>
    <w:rsid w:val="6B930A6E"/>
    <w:rsid w:val="6CF0567F"/>
    <w:rsid w:val="6D3F7151"/>
    <w:rsid w:val="6E1CF58C"/>
    <w:rsid w:val="6F1C13C4"/>
    <w:rsid w:val="6F991D74"/>
    <w:rsid w:val="714F7439"/>
    <w:rsid w:val="71ED94B5"/>
    <w:rsid w:val="72345F6B"/>
    <w:rsid w:val="72A2C02E"/>
    <w:rsid w:val="72A7DAE8"/>
    <w:rsid w:val="730E4737"/>
    <w:rsid w:val="732DFA17"/>
    <w:rsid w:val="73F26654"/>
    <w:rsid w:val="74830153"/>
    <w:rsid w:val="74C0615D"/>
    <w:rsid w:val="75288A64"/>
    <w:rsid w:val="75C02E32"/>
    <w:rsid w:val="75F21903"/>
    <w:rsid w:val="75FACEE5"/>
    <w:rsid w:val="76A5C251"/>
    <w:rsid w:val="7903673F"/>
    <w:rsid w:val="7959BC19"/>
    <w:rsid w:val="7A7D4A79"/>
    <w:rsid w:val="7ADDF390"/>
    <w:rsid w:val="7B396CD2"/>
    <w:rsid w:val="7B846FCC"/>
    <w:rsid w:val="7C4580CE"/>
    <w:rsid w:val="7D5E4E1C"/>
    <w:rsid w:val="7D6142D1"/>
    <w:rsid w:val="7DD07168"/>
    <w:rsid w:val="7E3D60C6"/>
    <w:rsid w:val="7E97C807"/>
    <w:rsid w:val="7F086E77"/>
    <w:rsid w:val="7F6D8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296F"/>
  <w15:chartTrackingRefBased/>
  <w15:docId w15:val="{BC4C7D35-7384-4789-BAAC-863D287B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93A"/>
    <w:pPr>
      <w:keepNext/>
      <w:keepLines/>
      <w:spacing w:before="240" w:after="0"/>
      <w:outlineLvl w:val="0"/>
    </w:pPr>
    <w:rPr>
      <w:rFonts w:asciiTheme="majorHAnsi" w:eastAsiaTheme="majorEastAsia" w:hAnsiTheme="majorHAnsi" w:cstheme="majorBidi"/>
      <w:color w:val="00548C" w:themeColor="accent1" w:themeShade="BF"/>
      <w:sz w:val="32"/>
      <w:szCs w:val="32"/>
    </w:rPr>
  </w:style>
  <w:style w:type="paragraph" w:styleId="Heading2">
    <w:name w:val="heading 2"/>
    <w:basedOn w:val="Normal"/>
    <w:next w:val="Normal"/>
    <w:link w:val="Heading2Char"/>
    <w:uiPriority w:val="9"/>
    <w:unhideWhenUsed/>
    <w:qFormat/>
    <w:rsid w:val="00D939A0"/>
    <w:pPr>
      <w:keepNext/>
      <w:keepLines/>
      <w:spacing w:before="40" w:after="0"/>
      <w:outlineLvl w:val="1"/>
    </w:pPr>
    <w:rPr>
      <w:rFonts w:asciiTheme="majorHAnsi" w:eastAsiaTheme="majorEastAsia" w:hAnsiTheme="majorHAnsi" w:cstheme="majorBidi"/>
      <w:color w:val="00548C" w:themeColor="accent1" w:themeShade="BF"/>
      <w:sz w:val="26"/>
      <w:szCs w:val="26"/>
    </w:rPr>
  </w:style>
  <w:style w:type="paragraph" w:styleId="Heading3">
    <w:name w:val="heading 3"/>
    <w:basedOn w:val="Normal"/>
    <w:next w:val="Normal"/>
    <w:link w:val="Heading3Char"/>
    <w:uiPriority w:val="9"/>
    <w:unhideWhenUsed/>
    <w:qFormat/>
    <w:rsid w:val="006E6565"/>
    <w:pPr>
      <w:keepNext/>
      <w:keepLines/>
      <w:spacing w:before="40" w:after="0"/>
      <w:outlineLvl w:val="2"/>
    </w:pPr>
    <w:rPr>
      <w:rFonts w:asciiTheme="majorHAnsi" w:eastAsiaTheme="majorEastAsia" w:hAnsiTheme="majorHAnsi" w:cstheme="majorBidi"/>
      <w:color w:val="00385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F8D"/>
    <w:pPr>
      <w:ind w:left="720"/>
      <w:contextualSpacing/>
    </w:pPr>
  </w:style>
  <w:style w:type="table" w:styleId="TableGrid">
    <w:name w:val="Table Grid"/>
    <w:basedOn w:val="TableNormal"/>
    <w:uiPriority w:val="39"/>
    <w:rsid w:val="00B17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F4"/>
  </w:style>
  <w:style w:type="paragraph" w:styleId="Footer">
    <w:name w:val="footer"/>
    <w:basedOn w:val="Normal"/>
    <w:link w:val="FooterChar"/>
    <w:uiPriority w:val="99"/>
    <w:unhideWhenUsed/>
    <w:qFormat/>
    <w:rsid w:val="000E3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F4"/>
  </w:style>
  <w:style w:type="character" w:styleId="PlaceholderText">
    <w:name w:val="Placeholder Text"/>
    <w:basedOn w:val="DefaultParagraphFont"/>
    <w:uiPriority w:val="99"/>
    <w:semiHidden/>
    <w:rsid w:val="0033686C"/>
    <w:rPr>
      <w:color w:val="808080"/>
    </w:rPr>
  </w:style>
  <w:style w:type="character" w:customStyle="1" w:styleId="Heading1Char">
    <w:name w:val="Heading 1 Char"/>
    <w:basedOn w:val="DefaultParagraphFont"/>
    <w:link w:val="Heading1"/>
    <w:uiPriority w:val="9"/>
    <w:rsid w:val="0078793A"/>
    <w:rPr>
      <w:rFonts w:asciiTheme="majorHAnsi" w:eastAsiaTheme="majorEastAsia" w:hAnsiTheme="majorHAnsi" w:cstheme="majorBidi"/>
      <w:color w:val="00548C" w:themeColor="accent1" w:themeShade="BF"/>
      <w:sz w:val="32"/>
      <w:szCs w:val="32"/>
    </w:rPr>
  </w:style>
  <w:style w:type="paragraph" w:styleId="Title">
    <w:name w:val="Title"/>
    <w:basedOn w:val="Normal"/>
    <w:next w:val="Normal"/>
    <w:link w:val="TitleChar"/>
    <w:uiPriority w:val="10"/>
    <w:qFormat/>
    <w:rsid w:val="007879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93A"/>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2752F0"/>
    <w:rPr>
      <w:smallCaps/>
      <w:color w:val="7B7B7B" w:themeColor="text1" w:themeTint="A5"/>
    </w:rPr>
  </w:style>
  <w:style w:type="character" w:styleId="IntenseReference">
    <w:name w:val="Intense Reference"/>
    <w:basedOn w:val="DefaultParagraphFont"/>
    <w:uiPriority w:val="32"/>
    <w:qFormat/>
    <w:rsid w:val="00F037AC"/>
    <w:rPr>
      <w:b/>
      <w:bCs/>
      <w:smallCaps/>
      <w:color w:val="0072BC" w:themeColor="accent1"/>
      <w:spacing w:val="5"/>
    </w:rPr>
  </w:style>
  <w:style w:type="paragraph" w:styleId="IntenseQuote">
    <w:name w:val="Intense Quote"/>
    <w:basedOn w:val="Normal"/>
    <w:next w:val="Normal"/>
    <w:link w:val="IntenseQuoteChar"/>
    <w:uiPriority w:val="30"/>
    <w:qFormat/>
    <w:rsid w:val="00F037AC"/>
    <w:pPr>
      <w:pBdr>
        <w:top w:val="single" w:sz="4" w:space="10" w:color="0072BC" w:themeColor="accent1"/>
        <w:bottom w:val="single" w:sz="4" w:space="10" w:color="0072BC" w:themeColor="accent1"/>
      </w:pBdr>
      <w:spacing w:before="360" w:after="360"/>
      <w:ind w:left="864" w:right="864"/>
      <w:jc w:val="center"/>
    </w:pPr>
    <w:rPr>
      <w:i/>
      <w:iCs/>
      <w:color w:val="0072BC" w:themeColor="accent1"/>
    </w:rPr>
  </w:style>
  <w:style w:type="character" w:customStyle="1" w:styleId="IntenseQuoteChar">
    <w:name w:val="Intense Quote Char"/>
    <w:basedOn w:val="DefaultParagraphFont"/>
    <w:link w:val="IntenseQuote"/>
    <w:uiPriority w:val="30"/>
    <w:rsid w:val="00F037AC"/>
    <w:rPr>
      <w:i/>
      <w:iCs/>
      <w:color w:val="0072BC" w:themeColor="accent1"/>
    </w:rPr>
  </w:style>
  <w:style w:type="character" w:styleId="SubtleEmphasis">
    <w:name w:val="Subtle Emphasis"/>
    <w:basedOn w:val="DefaultParagraphFont"/>
    <w:uiPriority w:val="19"/>
    <w:qFormat/>
    <w:rsid w:val="00F037AC"/>
    <w:rPr>
      <w:i/>
      <w:iCs/>
      <w:color w:val="666666" w:themeColor="text1" w:themeTint="BF"/>
    </w:rPr>
  </w:style>
  <w:style w:type="paragraph" w:styleId="Subtitle">
    <w:name w:val="Subtitle"/>
    <w:basedOn w:val="Normal"/>
    <w:next w:val="Normal"/>
    <w:link w:val="SubtitleChar"/>
    <w:uiPriority w:val="11"/>
    <w:qFormat/>
    <w:rsid w:val="00DD2B36"/>
    <w:pPr>
      <w:numPr>
        <w:ilvl w:val="1"/>
      </w:numPr>
    </w:pPr>
    <w:rPr>
      <w:rFonts w:eastAsiaTheme="minorEastAsia"/>
      <w:color w:val="7B7B7B" w:themeColor="text1" w:themeTint="A5"/>
      <w:spacing w:val="15"/>
    </w:rPr>
  </w:style>
  <w:style w:type="character" w:customStyle="1" w:styleId="SubtitleChar">
    <w:name w:val="Subtitle Char"/>
    <w:basedOn w:val="DefaultParagraphFont"/>
    <w:link w:val="Subtitle"/>
    <w:uiPriority w:val="11"/>
    <w:rsid w:val="00DD2B36"/>
    <w:rPr>
      <w:rFonts w:eastAsiaTheme="minorEastAsia"/>
      <w:color w:val="7B7B7B" w:themeColor="text1" w:themeTint="A5"/>
      <w:spacing w:val="15"/>
    </w:rPr>
  </w:style>
  <w:style w:type="paragraph" w:customStyle="1" w:styleId="Default">
    <w:name w:val="Default"/>
    <w:rsid w:val="00DD2B3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D939A0"/>
    <w:rPr>
      <w:rFonts w:asciiTheme="majorHAnsi" w:eastAsiaTheme="majorEastAsia" w:hAnsiTheme="majorHAnsi" w:cstheme="majorBidi"/>
      <w:color w:val="00548C" w:themeColor="accent1" w:themeShade="BF"/>
      <w:sz w:val="26"/>
      <w:szCs w:val="26"/>
    </w:rPr>
  </w:style>
  <w:style w:type="paragraph" w:customStyle="1" w:styleId="SOP">
    <w:name w:val="SOP"/>
    <w:basedOn w:val="Heading1"/>
    <w:link w:val="SOPChar"/>
    <w:rsid w:val="00D939A0"/>
    <w:pPr>
      <w:ind w:left="720"/>
    </w:pPr>
    <w:rPr>
      <w:rFonts w:asciiTheme="minorHAnsi" w:eastAsiaTheme="minorHAnsi" w:hAnsiTheme="minorHAnsi" w:cstheme="minorBidi"/>
      <w:color w:val="auto"/>
      <w:sz w:val="20"/>
      <w:szCs w:val="20"/>
    </w:rPr>
  </w:style>
  <w:style w:type="character" w:customStyle="1" w:styleId="Heading3Char">
    <w:name w:val="Heading 3 Char"/>
    <w:basedOn w:val="DefaultParagraphFont"/>
    <w:link w:val="Heading3"/>
    <w:uiPriority w:val="9"/>
    <w:rsid w:val="006E6565"/>
    <w:rPr>
      <w:rFonts w:asciiTheme="majorHAnsi" w:eastAsiaTheme="majorEastAsia" w:hAnsiTheme="majorHAnsi" w:cstheme="majorBidi"/>
      <w:color w:val="00385D" w:themeColor="accent1" w:themeShade="7F"/>
      <w:sz w:val="24"/>
      <w:szCs w:val="24"/>
    </w:rPr>
  </w:style>
  <w:style w:type="character" w:customStyle="1" w:styleId="SOPChar">
    <w:name w:val="SOP Char"/>
    <w:basedOn w:val="Heading1Char"/>
    <w:link w:val="SOP"/>
    <w:rsid w:val="00D939A0"/>
    <w:rPr>
      <w:rFonts w:asciiTheme="majorHAnsi" w:eastAsiaTheme="majorEastAsia" w:hAnsiTheme="majorHAnsi" w:cstheme="majorBidi"/>
      <w:color w:val="00548C" w:themeColor="accent1" w:themeShade="BF"/>
      <w:sz w:val="20"/>
      <w:szCs w:val="20"/>
    </w:rPr>
  </w:style>
  <w:style w:type="character" w:styleId="IntenseEmphasis">
    <w:name w:val="Intense Emphasis"/>
    <w:basedOn w:val="DefaultParagraphFont"/>
    <w:uiPriority w:val="21"/>
    <w:qFormat/>
    <w:rsid w:val="000C45A9"/>
    <w:rPr>
      <w:i/>
      <w:iCs/>
      <w:color w:val="0072BC" w:themeColor="accent1"/>
    </w:rPr>
  </w:style>
  <w:style w:type="character" w:styleId="Strong">
    <w:name w:val="Strong"/>
    <w:basedOn w:val="DefaultParagraphFont"/>
    <w:uiPriority w:val="22"/>
    <w:qFormat/>
    <w:rsid w:val="000C45A9"/>
    <w:rPr>
      <w:b/>
      <w:bCs/>
    </w:rPr>
  </w:style>
  <w:style w:type="paragraph" w:customStyle="1" w:styleId="Sub-bullets">
    <w:name w:val="Sub-bullets"/>
    <w:basedOn w:val="Normal"/>
    <w:link w:val="Sub-bulletsChar"/>
    <w:uiPriority w:val="1"/>
    <w:qFormat/>
    <w:rsid w:val="3B568701"/>
    <w:pPr>
      <w:numPr>
        <w:numId w:val="1"/>
      </w:numPr>
      <w:contextualSpacing/>
    </w:pPr>
    <w:rPr>
      <w:rFonts w:eastAsiaTheme="minorEastAsia"/>
      <w:sz w:val="20"/>
      <w:szCs w:val="20"/>
    </w:rPr>
  </w:style>
  <w:style w:type="character" w:customStyle="1" w:styleId="Sub-bulletsChar">
    <w:name w:val="Sub-bullets Char"/>
    <w:basedOn w:val="DefaultParagraphFont"/>
    <w:link w:val="Sub-bullets"/>
    <w:uiPriority w:val="1"/>
    <w:rsid w:val="3B568701"/>
    <w:rPr>
      <w:rFonts w:eastAsiaTheme="minorEastAsia"/>
      <w:sz w:val="20"/>
      <w:szCs w:val="20"/>
    </w:rPr>
  </w:style>
  <w:style w:type="paragraph" w:customStyle="1" w:styleId="Subcategory">
    <w:name w:val="Subcategory"/>
    <w:basedOn w:val="Normal"/>
    <w:link w:val="SubcategoryChar"/>
    <w:uiPriority w:val="1"/>
    <w:qFormat/>
    <w:rsid w:val="3B568701"/>
    <w:pPr>
      <w:spacing w:before="40" w:after="0"/>
      <w:outlineLvl w:val="2"/>
    </w:pPr>
    <w:rPr>
      <w:rFonts w:eastAsiaTheme="majorEastAsia"/>
      <w:b/>
      <w:bCs/>
      <w:color w:val="0071BC"/>
      <w:sz w:val="24"/>
      <w:szCs w:val="24"/>
    </w:rPr>
  </w:style>
  <w:style w:type="character" w:customStyle="1" w:styleId="SubcategoryChar">
    <w:name w:val="Subcategory Char"/>
    <w:basedOn w:val="DefaultParagraphFont"/>
    <w:link w:val="Subcategory"/>
    <w:rsid w:val="3B568701"/>
    <w:rPr>
      <w:rFonts w:asciiTheme="minorHAnsi" w:eastAsiaTheme="majorEastAsia" w:hAnsiTheme="minorHAnsi" w:cstheme="minorBidi"/>
      <w:b/>
      <w:bCs/>
      <w:color w:val="0071BC"/>
      <w:sz w:val="24"/>
      <w:szCs w:val="24"/>
    </w:rPr>
  </w:style>
  <w:style w:type="paragraph" w:customStyle="1" w:styleId="Subdetails">
    <w:name w:val="Subdetails"/>
    <w:basedOn w:val="Normal"/>
    <w:link w:val="SubdetailsChar"/>
    <w:uiPriority w:val="1"/>
    <w:qFormat/>
    <w:rsid w:val="3B568701"/>
    <w:pPr>
      <w:spacing w:after="0"/>
    </w:pPr>
    <w:rPr>
      <w:rFonts w:eastAsiaTheme="minorEastAsia"/>
      <w:sz w:val="20"/>
      <w:szCs w:val="20"/>
    </w:rPr>
  </w:style>
  <w:style w:type="character" w:customStyle="1" w:styleId="SubdetailsChar">
    <w:name w:val="Subdetails Char"/>
    <w:basedOn w:val="DefaultParagraphFont"/>
    <w:link w:val="Subdetails"/>
    <w:rsid w:val="3B568701"/>
    <w:rPr>
      <w:rFonts w:asciiTheme="minorHAnsi" w:eastAsiaTheme="minorEastAsia" w:hAnsiTheme="minorHAnsi" w:cstheme="minorBidi"/>
      <w:noProof w:val="0"/>
      <w:sz w:val="20"/>
      <w:szCs w:val="20"/>
      <w:lang w:val="en-US"/>
    </w:rPr>
  </w:style>
  <w:style w:type="paragraph" w:customStyle="1" w:styleId="MainCategory">
    <w:name w:val="MainCategory"/>
    <w:basedOn w:val="Normal"/>
    <w:link w:val="MainCategoryChar"/>
    <w:uiPriority w:val="1"/>
    <w:qFormat/>
    <w:rsid w:val="3B568701"/>
    <w:pPr>
      <w:keepNext/>
      <w:keepLines/>
      <w:spacing w:before="240" w:after="0"/>
      <w:outlineLvl w:val="0"/>
    </w:pPr>
    <w:rPr>
      <w:rFonts w:eastAsiaTheme="majorEastAsia"/>
      <w:color w:val="0071BC"/>
      <w:sz w:val="32"/>
      <w:szCs w:val="32"/>
    </w:rPr>
  </w:style>
  <w:style w:type="character" w:customStyle="1" w:styleId="MainCategoryChar">
    <w:name w:val="MainCategory Char"/>
    <w:basedOn w:val="DefaultParagraphFont"/>
    <w:link w:val="MainCategory"/>
    <w:rsid w:val="3B568701"/>
    <w:rPr>
      <w:rFonts w:asciiTheme="minorHAnsi" w:eastAsiaTheme="majorEastAsia" w:hAnsiTheme="minorHAnsi" w:cstheme="minorBidi"/>
      <w:color w:val="0071BC"/>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425A1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316E6"/>
    <w:pPr>
      <w:spacing w:after="0" w:line="240" w:lineRule="auto"/>
    </w:pPr>
  </w:style>
  <w:style w:type="paragraph" w:customStyle="1" w:styleId="Policysub31bullets">
    <w:name w:val="Policysub3.1bullets"/>
    <w:basedOn w:val="Normal"/>
    <w:link w:val="Policysub31bulletsChar"/>
    <w:uiPriority w:val="1"/>
    <w:qFormat/>
    <w:rsid w:val="00211EBC"/>
    <w:pPr>
      <w:ind w:left="720" w:hanging="360"/>
      <w:contextualSpacing/>
    </w:pPr>
    <w:rPr>
      <w:rFonts w:eastAsiaTheme="minorEastAsia"/>
      <w:sz w:val="20"/>
      <w:szCs w:val="20"/>
    </w:rPr>
  </w:style>
  <w:style w:type="character" w:customStyle="1" w:styleId="Policysub31bulletsChar">
    <w:name w:val="Policysub3.1bullets Char"/>
    <w:basedOn w:val="DefaultParagraphFont"/>
    <w:link w:val="Policysub31bullets"/>
    <w:uiPriority w:val="1"/>
    <w:rsid w:val="00211EBC"/>
    <w:rPr>
      <w:rFonts w:eastAsiaTheme="minorEastAsia"/>
      <w:sz w:val="20"/>
      <w:szCs w:val="20"/>
    </w:rPr>
  </w:style>
  <w:style w:type="paragraph" w:customStyle="1" w:styleId="Policy31">
    <w:name w:val="Policy3.1"/>
    <w:basedOn w:val="Normal"/>
    <w:link w:val="Policy31Char"/>
    <w:uiPriority w:val="1"/>
    <w:qFormat/>
    <w:rsid w:val="00A356BF"/>
    <w:pPr>
      <w:keepNext/>
      <w:keepLines/>
      <w:spacing w:before="240" w:after="0"/>
      <w:outlineLvl w:val="0"/>
    </w:pPr>
    <w:rPr>
      <w:rFonts w:eastAsiaTheme="majorEastAsia"/>
      <w:color w:val="0071BC"/>
      <w:sz w:val="32"/>
      <w:szCs w:val="32"/>
    </w:rPr>
  </w:style>
  <w:style w:type="character" w:customStyle="1" w:styleId="Policy31Char">
    <w:name w:val="Policy3.1 Char"/>
    <w:basedOn w:val="DefaultParagraphFont"/>
    <w:link w:val="Policy31"/>
    <w:rsid w:val="00A356BF"/>
    <w:rPr>
      <w:rFonts w:eastAsiaTheme="majorEastAsia"/>
      <w:color w:val="0071BC"/>
      <w:sz w:val="32"/>
      <w:szCs w:val="32"/>
    </w:rPr>
  </w:style>
  <w:style w:type="character" w:styleId="Hyperlink">
    <w:name w:val="Hyperlink"/>
    <w:basedOn w:val="DefaultParagraphFont"/>
    <w:uiPriority w:val="99"/>
    <w:unhideWhenUsed/>
    <w:rsid w:val="002E3499"/>
    <w:rPr>
      <w:strike w:val="0"/>
      <w:dstrike w:val="0"/>
      <w:color w:val="464FEB"/>
      <w:u w:val="none"/>
      <w:effect w:val="none"/>
    </w:rPr>
  </w:style>
  <w:style w:type="character" w:styleId="UnresolvedMention">
    <w:name w:val="Unresolved Mention"/>
    <w:basedOn w:val="DefaultParagraphFont"/>
    <w:uiPriority w:val="99"/>
    <w:semiHidden/>
    <w:unhideWhenUsed/>
    <w:rsid w:val="00B03FBA"/>
    <w:rPr>
      <w:color w:val="605E5C"/>
      <w:shd w:val="clear" w:color="auto" w:fill="E1DFDD"/>
    </w:rPr>
  </w:style>
  <w:style w:type="paragraph" w:styleId="ListBullet">
    <w:name w:val="List Bullet"/>
    <w:basedOn w:val="Normal"/>
    <w:uiPriority w:val="99"/>
    <w:semiHidden/>
    <w:unhideWhenUsed/>
    <w:rsid w:val="008B6860"/>
    <w:pPr>
      <w:numPr>
        <w:numId w:val="3"/>
      </w:numPr>
      <w:tabs>
        <w:tab w:val="clear" w:pos="360"/>
      </w:tabs>
      <w:spacing w:after="200" w:line="276" w:lineRule="auto"/>
      <w:contextualSpacing/>
    </w:pPr>
    <w:rPr>
      <w:rFonts w:ascii="Calibri" w:eastAsia="Calibri" w:hAnsi="Calibri"/>
    </w:rPr>
  </w:style>
  <w:style w:type="paragraph" w:styleId="ListNumber">
    <w:name w:val="List Number"/>
    <w:basedOn w:val="Normal"/>
    <w:uiPriority w:val="99"/>
    <w:semiHidden/>
    <w:unhideWhenUsed/>
    <w:rsid w:val="008B6860"/>
    <w:pPr>
      <w:numPr>
        <w:numId w:val="4"/>
      </w:numPr>
      <w:tabs>
        <w:tab w:val="clear" w:pos="360"/>
      </w:tabs>
      <w:spacing w:after="200" w:line="276" w:lineRule="auto"/>
      <w:ind w:left="0" w:firstLine="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spirant">
      <a:dk1>
        <a:srgbClr val="333333"/>
      </a:dk1>
      <a:lt1>
        <a:srgbClr val="FFFFFF"/>
      </a:lt1>
      <a:dk2>
        <a:srgbClr val="0072BC"/>
      </a:dk2>
      <a:lt2>
        <a:srgbClr val="B2B2B2"/>
      </a:lt2>
      <a:accent1>
        <a:srgbClr val="0072BC"/>
      </a:accent1>
      <a:accent2>
        <a:srgbClr val="333333"/>
      </a:accent2>
      <a:accent3>
        <a:srgbClr val="838383"/>
      </a:accent3>
      <a:accent4>
        <a:srgbClr val="B2B2B2"/>
      </a:accent4>
      <a:accent5>
        <a:srgbClr val="FFFFFF"/>
      </a:accent5>
      <a:accent6>
        <a:srgbClr val="0072BC"/>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Date xmlns="4150b92f-84c0-4bde-a122-52c6a7ebcb4d">2025-11-10T08:00:00+00:00</ApprovalDate>
    <EffectiveDate xmlns="4150b92f-84c0-4bde-a122-52c6a7ebcb4d">2026-01-16T08:00:00+00:00</EffectiveDate>
    <Approver xmlns="4150b92f-84c0-4bde-a122-52c6a7ebcb4d">Technology Operational Risk Committee</Approver>
    <PPOwner xmlns="4150b92f-84c0-4bde-a122-52c6a7ebcb4d">John Walp</PPOwner>
    <ITSLTReview xmlns="4150b92f-84c0-4bde-a122-52c6a7ebcb4d">John Walp</ITSLTRevie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71988083D8C46AC24F6C1DA16E1C7" ma:contentTypeVersion="9" ma:contentTypeDescription="Create a new document." ma:contentTypeScope="" ma:versionID="0dd80194ebaff88b27368d1b23316440">
  <xsd:schema xmlns:xsd="http://www.w3.org/2001/XMLSchema" xmlns:xs="http://www.w3.org/2001/XMLSchema" xmlns:p="http://schemas.microsoft.com/office/2006/metadata/properties" xmlns:ns2="4150b92f-84c0-4bde-a122-52c6a7ebcb4d" targetNamespace="http://schemas.microsoft.com/office/2006/metadata/properties" ma:root="true" ma:fieldsID="171f93d92299e774d2b8799cc841dd3f" ns2:_="">
    <xsd:import namespace="4150b92f-84c0-4bde-a122-52c6a7ebcb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POwner" minOccurs="0"/>
                <xsd:element ref="ns2:Approver" minOccurs="0"/>
                <xsd:element ref="ns2:EffectiveDate" minOccurs="0"/>
                <xsd:element ref="ns2:ApprovalDate"/>
                <xsd:element ref="ns2:ITSLTReview"/>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0b92f-84c0-4bde-a122-52c6a7ebc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POwner" ma:index="12" nillable="true" ma:displayName="P&amp;P Owner" ma:format="Dropdown" ma:internalName="PPOwner">
      <xsd:simpleType>
        <xsd:restriction base="dms:Text">
          <xsd:maxLength value="255"/>
        </xsd:restriction>
      </xsd:simpleType>
    </xsd:element>
    <xsd:element name="Approver" ma:index="13" nillable="true" ma:displayName="Approver" ma:format="Dropdown" ma:internalName="Approver">
      <xsd:simpleType>
        <xsd:restriction base="dms:Text">
          <xsd:maxLength value="255"/>
        </xsd:restriction>
      </xsd:simpleType>
    </xsd:element>
    <xsd:element name="EffectiveDate" ma:index="14" nillable="true" ma:displayName="Effective Date" ma:default="[today]" ma:format="DateOnly" ma:internalName="EffectiveDate">
      <xsd:simpleType>
        <xsd:restriction base="dms:DateTime"/>
      </xsd:simpleType>
    </xsd:element>
    <xsd:element name="ApprovalDate" ma:index="15" ma:displayName="Approval Date" ma:format="DateOnly" ma:internalName="ApprovalDate">
      <xsd:simpleType>
        <xsd:restriction base="dms:DateTime"/>
      </xsd:simpleType>
    </xsd:element>
    <xsd:element name="ITSLTReview" ma:index="16" ma:displayName="Reviewed by;" ma:description="IT, Risk, Compliance, GRC Steering Committee" ma:format="Dropdown" ma:internalName="ITSLTReview">
      <xsd:simpleType>
        <xsd:restriction base="dms:Text">
          <xsd:maxLength value="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DC49E-3377-416E-B8EF-1FCE5FF78EF4}">
  <ds:schemaRefs>
    <ds:schemaRef ds:uri="http://schemas.microsoft.com/office/2006/metadata/properties"/>
    <ds:schemaRef ds:uri="http://schemas.microsoft.com/office/infopath/2007/PartnerControls"/>
    <ds:schemaRef ds:uri="4150b92f-84c0-4bde-a122-52c6a7ebcb4d"/>
  </ds:schemaRefs>
</ds:datastoreItem>
</file>

<file path=customXml/itemProps2.xml><?xml version="1.0" encoding="utf-8"?>
<ds:datastoreItem xmlns:ds="http://schemas.openxmlformats.org/officeDocument/2006/customXml" ds:itemID="{E6DF32CC-27E2-4165-9F8E-2A89666C2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0b92f-84c0-4bde-a122-52c6a7ebc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4F67F-1B3E-48A8-A06F-79E5787C5210}">
  <ds:schemaRefs>
    <ds:schemaRef ds:uri="http://schemas.openxmlformats.org/officeDocument/2006/bibliography"/>
  </ds:schemaRefs>
</ds:datastoreItem>
</file>

<file path=customXml/itemProps4.xml><?xml version="1.0" encoding="utf-8"?>
<ds:datastoreItem xmlns:ds="http://schemas.openxmlformats.org/officeDocument/2006/customXml" ds:itemID="{9FCBAA24-AD12-4769-9A09-D61382108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Links>
    <vt:vector size="6" baseType="variant">
      <vt:variant>
        <vt:i4>7143449</vt:i4>
      </vt:variant>
      <vt:variant>
        <vt:i4>0</vt:i4>
      </vt:variant>
      <vt:variant>
        <vt:i4>0</vt:i4>
      </vt:variant>
      <vt:variant>
        <vt:i4>5</vt:i4>
      </vt:variant>
      <vt:variant>
        <vt:lpwstr>mailto:eric.decker@pointchealth.com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Napier</dc:creator>
  <cp:keywords/>
  <dc:description/>
  <cp:lastModifiedBy>Jennifer Sweeney</cp:lastModifiedBy>
  <cp:revision>2</cp:revision>
  <cp:lastPrinted>2020-04-15T22:15:00Z</cp:lastPrinted>
  <dcterms:created xsi:type="dcterms:W3CDTF">2026-06-23T19:10:00Z</dcterms:created>
  <dcterms:modified xsi:type="dcterms:W3CDTF">2026-06-23T19:10:00Z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0x0101000CD71988083D8C46AC24F6C1DA16E1C7</vt:lpwstr>
  </property>
  <property fmtid="{D5CDD505-2E9C-101B-9397-08002B2CF9AE}" pid="3" name="Order">
    <vt:r8>10100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{"FileActivityType":"9","FileActivityTimeStamp":"2025-01-28T20:03:41.583Z","FileActivityUsersOnPage":[{"DisplayName":"JD Sentz","Id":"jd.sentz@pointchealth.com"}],"FileActivityNavigationId":null}</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